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b/>
          <w:bCs/>
          <w:i w:val="0"/>
          <w:caps w:val="0"/>
          <w:color w:val="000000"/>
          <w:spacing w:val="0"/>
          <w:sz w:val="32"/>
          <w:szCs w:val="32"/>
          <w:shd w:val="clear" w:fill="FFFFFF"/>
          <w:lang w:val="en-US" w:eastAsia="zh-CN"/>
        </w:rPr>
      </w:pPr>
      <w:r>
        <w:rPr>
          <w:rFonts w:hint="eastAsia" w:ascii="黑体" w:hAnsi="黑体" w:eastAsia="黑体" w:cs="黑体"/>
          <w:b/>
          <w:bCs/>
          <w:i w:val="0"/>
          <w:caps w:val="0"/>
          <w:color w:val="000000"/>
          <w:spacing w:val="0"/>
          <w:sz w:val="32"/>
          <w:szCs w:val="32"/>
          <w:shd w:val="clear" w:fill="FFFFFF"/>
          <w:lang w:val="en-US" w:eastAsia="zh-CN"/>
        </w:rPr>
        <w:t>技术参数：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仿宋" w:hAnsi="仿宋" w:eastAsia="仿宋" w:cs="仿宋"/>
          <w:b/>
          <w:bCs/>
          <w:i w:val="0"/>
          <w:caps w:val="0"/>
          <w:color w:val="000000"/>
          <w:spacing w:val="0"/>
          <w:sz w:val="28"/>
          <w:szCs w:val="28"/>
          <w:shd w:val="clear" w:fill="FFFFFF"/>
          <w:lang w:val="en-US" w:eastAsia="zh-CN"/>
        </w:rPr>
      </w:pPr>
    </w:p>
    <w:p>
      <w:pPr>
        <w:pStyle w:val="3"/>
        <w:numPr>
          <w:ilvl w:val="0"/>
          <w:numId w:val="0"/>
        </w:numPr>
        <w:tabs>
          <w:tab w:val="left" w:pos="480"/>
        </w:tabs>
        <w:adjustRightInd/>
        <w:spacing w:before="120" w:beforeLines="50" w:after="120" w:afterLines="50" w:line="360" w:lineRule="auto"/>
        <w:ind w:leftChars="0"/>
        <w:textAlignment w:val="auto"/>
        <w:rPr>
          <w:rFonts w:hint="eastAsia" w:ascii="仿宋" w:hAnsi="仿宋" w:eastAsia="仿宋" w:cs="仿宋"/>
          <w:b/>
          <w:bCs/>
          <w:kern w:val="2"/>
          <w:sz w:val="28"/>
          <w:szCs w:val="28"/>
          <w:lang w:val="en-US" w:eastAsia="zh-CN"/>
        </w:rPr>
      </w:pPr>
      <w:r>
        <w:rPr>
          <w:rFonts w:hint="eastAsia" w:ascii="仿宋" w:hAnsi="仿宋" w:eastAsia="仿宋" w:cs="仿宋"/>
          <w:b/>
          <w:bCs/>
          <w:kern w:val="2"/>
          <w:sz w:val="28"/>
          <w:szCs w:val="28"/>
          <w:lang w:val="en-US" w:eastAsia="zh-CN"/>
        </w:rPr>
        <w:t>（一）一体化电源柜UPS主机品牌及技术要求：</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根据我院目前使用UPS的品牌、类型以及使用情况，</w:t>
      </w:r>
      <w:r>
        <w:rPr>
          <w:rFonts w:hint="eastAsia" w:ascii="仿宋" w:hAnsi="仿宋" w:eastAsia="仿宋" w:cs="仿宋"/>
          <w:sz w:val="24"/>
          <w:szCs w:val="24"/>
          <w:lang w:val="en-US" w:eastAsia="zh-CN"/>
        </w:rPr>
        <w:t>便于后期维护维修，</w:t>
      </w:r>
      <w:r>
        <w:rPr>
          <w:rFonts w:hint="eastAsia" w:ascii="仿宋" w:hAnsi="仿宋" w:eastAsia="仿宋" w:cs="仿宋"/>
          <w:sz w:val="24"/>
          <w:szCs w:val="24"/>
        </w:rPr>
        <w:t>要求按照以下品牌的同等类型的UPS进行选型配置并报价。</w:t>
      </w:r>
    </w:p>
    <w:tbl>
      <w:tblPr>
        <w:tblStyle w:val="11"/>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5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823"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一体化电源柜UPS主机</w:t>
            </w:r>
            <w:r>
              <w:rPr>
                <w:rFonts w:hint="eastAsia" w:ascii="仿宋" w:hAnsi="仿宋" w:eastAsia="仿宋" w:cs="仿宋"/>
                <w:sz w:val="21"/>
                <w:szCs w:val="21"/>
              </w:rPr>
              <w:t>品牌要求</w:t>
            </w:r>
          </w:p>
        </w:tc>
        <w:tc>
          <w:tcPr>
            <w:tcW w:w="525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UPS类型要求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23"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施耐德</w:t>
            </w:r>
          </w:p>
        </w:tc>
        <w:tc>
          <w:tcPr>
            <w:tcW w:w="5252" w:type="dxa"/>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Schneider SU RT系列 10KVA（配置至少30分钟电池）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82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索克曼</w:t>
            </w:r>
          </w:p>
        </w:tc>
        <w:tc>
          <w:tcPr>
            <w:tcW w:w="5252" w:type="dxa"/>
            <w:vAlign w:val="center"/>
          </w:tcPr>
          <w:p>
            <w:pPr>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Netys RT</w:t>
            </w:r>
            <w:r>
              <w:rPr>
                <w:rFonts w:hint="eastAsia" w:ascii="仿宋" w:hAnsi="仿宋" w:eastAsia="仿宋" w:cs="仿宋"/>
                <w:sz w:val="21"/>
                <w:szCs w:val="21"/>
              </w:rPr>
              <w:t xml:space="preserve">系列10KVA </w:t>
            </w:r>
            <w:r>
              <w:rPr>
                <w:rFonts w:hint="eastAsia" w:ascii="仿宋" w:hAnsi="仿宋" w:eastAsia="仿宋" w:cs="仿宋"/>
                <w:sz w:val="21"/>
                <w:szCs w:val="21"/>
                <w:highlight w:val="none"/>
                <w:lang w:val="en-US" w:eastAsia="zh-CN"/>
              </w:rPr>
              <w:t>（</w:t>
            </w:r>
            <w:r>
              <w:rPr>
                <w:rFonts w:hint="eastAsia" w:ascii="仿宋" w:hAnsi="仿宋" w:eastAsia="仿宋" w:cs="仿宋"/>
                <w:b w:val="0"/>
                <w:bCs w:val="0"/>
                <w:sz w:val="21"/>
                <w:szCs w:val="21"/>
                <w:highlight w:val="none"/>
                <w:lang w:val="en-US" w:eastAsia="zh-CN"/>
              </w:rPr>
              <w:t>配置至少30分钟电池</w:t>
            </w:r>
            <w:r>
              <w:rPr>
                <w:rFonts w:hint="eastAsia" w:ascii="仿宋" w:hAnsi="仿宋" w:eastAsia="仿宋" w:cs="仿宋"/>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823"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维谛（原艾默生）</w:t>
            </w:r>
          </w:p>
        </w:tc>
        <w:tc>
          <w:tcPr>
            <w:tcW w:w="5252"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ITA</w:t>
            </w:r>
            <w:r>
              <w:rPr>
                <w:rFonts w:hint="eastAsia" w:ascii="仿宋" w:hAnsi="仿宋" w:eastAsia="仿宋" w:cs="仿宋"/>
                <w:sz w:val="21"/>
                <w:szCs w:val="21"/>
              </w:rPr>
              <w:t>系列10KVA</w:t>
            </w:r>
            <w:r>
              <w:rPr>
                <w:rFonts w:hint="eastAsia" w:ascii="仿宋" w:hAnsi="仿宋" w:eastAsia="仿宋" w:cs="仿宋"/>
                <w:sz w:val="21"/>
                <w:szCs w:val="21"/>
                <w:highlight w:val="none"/>
                <w:lang w:val="en-US" w:eastAsia="zh-CN"/>
              </w:rPr>
              <w:t>（</w:t>
            </w:r>
            <w:r>
              <w:rPr>
                <w:rFonts w:hint="eastAsia" w:ascii="仿宋" w:hAnsi="仿宋" w:eastAsia="仿宋" w:cs="仿宋"/>
                <w:b w:val="0"/>
                <w:bCs w:val="0"/>
                <w:sz w:val="21"/>
                <w:szCs w:val="21"/>
                <w:highlight w:val="none"/>
                <w:lang w:val="en-US" w:eastAsia="zh-CN"/>
              </w:rPr>
              <w:t>配置至少30分钟电池</w:t>
            </w:r>
            <w:r>
              <w:rPr>
                <w:rFonts w:hint="eastAsia" w:ascii="仿宋" w:hAnsi="仿宋" w:eastAsia="仿宋" w:cs="仿宋"/>
                <w:sz w:val="21"/>
                <w:szCs w:val="21"/>
                <w:highlight w:val="none"/>
                <w:lang w:val="en-US" w:eastAsia="zh-CN"/>
              </w:rPr>
              <w:t>）</w:t>
            </w:r>
          </w:p>
        </w:tc>
      </w:tr>
    </w:tbl>
    <w:p>
      <w:pPr>
        <w:pStyle w:val="3"/>
        <w:numPr>
          <w:ilvl w:val="0"/>
          <w:numId w:val="0"/>
        </w:numPr>
        <w:tabs>
          <w:tab w:val="left" w:pos="480"/>
        </w:tabs>
        <w:adjustRightInd/>
        <w:spacing w:before="120" w:beforeLines="50" w:after="120" w:afterLines="50" w:line="360" w:lineRule="auto"/>
        <w:ind w:leftChars="0"/>
        <w:textAlignment w:val="auto"/>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rPr>
        <w:t>（二）UPS主机技术要求：</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塔式与机架式可任意互换</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UPS采用高频调制技术，减小体积（5/7KVA仅2U，9/10KVA仅3U），提高可</w:t>
      </w:r>
    </w:p>
    <w:p>
      <w:pPr>
        <w:pStyle w:val="20"/>
        <w:keepNext w:val="0"/>
        <w:keepLines w:val="0"/>
        <w:pageBreakBefore w:val="0"/>
        <w:widowControl/>
        <w:numPr>
          <w:ilvl w:val="0"/>
          <w:numId w:val="0"/>
        </w:numPr>
        <w:tabs>
          <w:tab w:val="left" w:pos="720"/>
        </w:tabs>
        <w:kinsoku/>
        <w:wordWrap/>
        <w:overflowPunct/>
        <w:topLinePunct w:val="0"/>
        <w:autoSpaceDE/>
        <w:autoSpaceDN/>
        <w:bidi w:val="0"/>
        <w:adjustRightInd w:val="0"/>
        <w:snapToGrid w:val="0"/>
        <w:spacing w:line="240" w:lineRule="auto"/>
        <w:ind w:leftChars="100"/>
        <w:textAlignment w:val="auto"/>
        <w:rPr>
          <w:rFonts w:hint="eastAsia" w:ascii="仿宋" w:hAnsi="仿宋" w:eastAsia="仿宋" w:cs="仿宋"/>
          <w:sz w:val="24"/>
          <w:szCs w:val="24"/>
        </w:rPr>
      </w:pPr>
      <w:r>
        <w:rPr>
          <w:rFonts w:hint="eastAsia" w:ascii="仿宋" w:hAnsi="仿宋" w:eastAsia="仿宋" w:cs="仿宋"/>
          <w:sz w:val="24"/>
          <w:szCs w:val="24"/>
        </w:rPr>
        <w:t>靠性，延长UPS寿命。</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共享电池</w:t>
      </w:r>
      <w:r>
        <w:rPr>
          <w:rFonts w:hint="eastAsia" w:ascii="仿宋" w:hAnsi="仿宋" w:eastAsia="仿宋" w:cs="仿宋"/>
          <w:sz w:val="24"/>
          <w:szCs w:val="24"/>
          <w:lang w:eastAsia="zh-CN"/>
        </w:rPr>
        <w:t>，</w:t>
      </w:r>
      <w:r>
        <w:rPr>
          <w:rFonts w:hint="eastAsia" w:ascii="仿宋" w:hAnsi="仿宋" w:eastAsia="仿宋" w:cs="仿宋"/>
          <w:sz w:val="24"/>
          <w:szCs w:val="24"/>
        </w:rPr>
        <w:t>并机时为了</w:t>
      </w:r>
      <w:r>
        <w:rPr>
          <w:rFonts w:hint="eastAsia" w:ascii="仿宋" w:hAnsi="仿宋" w:eastAsia="仿宋" w:cs="仿宋"/>
          <w:sz w:val="24"/>
          <w:szCs w:val="24"/>
          <w:lang w:eastAsia="zh-CN"/>
        </w:rPr>
        <w:t>降</w:t>
      </w:r>
      <w:r>
        <w:rPr>
          <w:rFonts w:hint="eastAsia" w:ascii="仿宋" w:hAnsi="仿宋" w:eastAsia="仿宋" w:cs="仿宋"/>
          <w:sz w:val="24"/>
          <w:szCs w:val="24"/>
        </w:rPr>
        <w:t>低成本及减小安装空间，两台UPS可共享电池。</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输入功率因数高达0.99，完美配合服务器的用电特性。</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双变换纯在线式设计，更适用于关键性负载。</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可以实现 1+1 并联冗余 ， 从而提高了系统的可</w:t>
      </w:r>
      <w:r>
        <w:rPr>
          <w:rFonts w:hint="eastAsia" w:ascii="仿宋" w:hAnsi="仿宋" w:eastAsia="仿宋" w:cs="仿宋"/>
          <w:sz w:val="24"/>
          <w:szCs w:val="24"/>
          <w:lang w:eastAsia="zh-CN"/>
        </w:rPr>
        <w:t>靠</w:t>
      </w:r>
      <w:r>
        <w:rPr>
          <w:rFonts w:hint="eastAsia" w:ascii="仿宋" w:hAnsi="仿宋" w:eastAsia="仿宋" w:cs="仿宋"/>
          <w:sz w:val="24"/>
          <w:szCs w:val="24"/>
        </w:rPr>
        <w:t>性。</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无电池开机：不用外接电池，市电正常时UPS可以正常开机工作。</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宽输入电压范围 130 – 280Vac，兼容各类发电机组       </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整机效率大于93%，节能。</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输出电压可选 </w:t>
      </w:r>
      <w:r>
        <w:rPr>
          <w:rFonts w:hint="eastAsia" w:ascii="仿宋" w:hAnsi="仿宋" w:eastAsia="仿宋" w:cs="仿宋"/>
          <w:sz w:val="24"/>
          <w:szCs w:val="24"/>
          <w:lang w:eastAsia="zh-CN"/>
        </w:rPr>
        <w:t>，</w:t>
      </w:r>
      <w:r>
        <w:rPr>
          <w:rFonts w:hint="eastAsia" w:ascii="仿宋" w:hAnsi="仿宋" w:eastAsia="仿宋" w:cs="仿宋"/>
          <w:sz w:val="24"/>
          <w:szCs w:val="24"/>
        </w:rPr>
        <w:t>可通过控制面板设定输出电压模</w:t>
      </w:r>
      <w:r>
        <w:rPr>
          <w:rFonts w:hint="eastAsia" w:ascii="仿宋" w:hAnsi="仿宋" w:eastAsia="仿宋" w:cs="仿宋"/>
          <w:sz w:val="24"/>
          <w:szCs w:val="24"/>
          <w:lang w:val="en-US" w:eastAsia="zh-CN"/>
        </w:rPr>
        <w:t xml:space="preserve">式 </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Vac200V/208V/220V/230V/240V</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智能型风扇设计</w:t>
      </w:r>
      <w:r>
        <w:rPr>
          <w:rFonts w:hint="eastAsia" w:ascii="仿宋" w:hAnsi="仿宋" w:eastAsia="仿宋" w:cs="仿宋"/>
          <w:sz w:val="24"/>
          <w:szCs w:val="24"/>
          <w:lang w:val="en-US" w:eastAsia="zh-CN"/>
        </w:rPr>
        <w:t>,</w:t>
      </w:r>
      <w:r>
        <w:rPr>
          <w:rFonts w:hint="eastAsia" w:ascii="仿宋" w:hAnsi="仿宋" w:eastAsia="仿宋" w:cs="仿宋"/>
          <w:sz w:val="24"/>
          <w:szCs w:val="24"/>
        </w:rPr>
        <w:t>风扇转速可以根据负载状况自动调整，提高效</w:t>
      </w:r>
      <w:r>
        <w:rPr>
          <w:rFonts w:hint="eastAsia" w:ascii="仿宋" w:hAnsi="仿宋" w:eastAsia="仿宋" w:cs="仿宋"/>
          <w:sz w:val="24"/>
          <w:szCs w:val="24"/>
          <w:lang w:eastAsia="zh-CN"/>
        </w:rPr>
        <w:t>率</w:t>
      </w:r>
      <w:r>
        <w:rPr>
          <w:rFonts w:hint="eastAsia" w:ascii="仿宋" w:hAnsi="仿宋" w:eastAsia="仿宋" w:cs="仿宋"/>
          <w:sz w:val="24"/>
          <w:szCs w:val="24"/>
        </w:rPr>
        <w:t>，</w:t>
      </w:r>
      <w:r>
        <w:rPr>
          <w:rFonts w:hint="eastAsia" w:ascii="仿宋" w:hAnsi="仿宋" w:eastAsia="仿宋" w:cs="仿宋"/>
          <w:sz w:val="24"/>
          <w:szCs w:val="24"/>
          <w:lang w:eastAsia="zh-CN"/>
        </w:rPr>
        <w:t>降</w:t>
      </w:r>
      <w:r>
        <w:rPr>
          <w:rFonts w:hint="eastAsia" w:ascii="仿宋" w:hAnsi="仿宋" w:eastAsia="仿宋" w:cs="仿宋"/>
          <w:sz w:val="24"/>
          <w:szCs w:val="24"/>
        </w:rPr>
        <w:t>低噪声及提高风扇的使用寿命</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通过控制面板可以准确了解UPS运行狀态如：负载，输入电压，输入频</w:t>
      </w:r>
      <w:r>
        <w:rPr>
          <w:rFonts w:hint="eastAsia" w:ascii="仿宋" w:hAnsi="仿宋" w:eastAsia="仿宋" w:cs="仿宋"/>
          <w:sz w:val="24"/>
          <w:szCs w:val="24"/>
          <w:lang w:eastAsia="zh-CN"/>
        </w:rPr>
        <w:t>率</w:t>
      </w:r>
      <w:r>
        <w:rPr>
          <w:rFonts w:hint="eastAsia" w:ascii="仿宋" w:hAnsi="仿宋" w:eastAsia="仿宋" w:cs="仿宋"/>
          <w:sz w:val="24"/>
          <w:szCs w:val="24"/>
        </w:rPr>
        <w:t>，输出</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电压，输出频率，电池电压等，方便管理人员清楚了解UPS运行</w:t>
      </w:r>
      <w:r>
        <w:rPr>
          <w:rFonts w:hint="eastAsia" w:ascii="仿宋" w:hAnsi="仿宋" w:eastAsia="仿宋" w:cs="仿宋"/>
          <w:sz w:val="24"/>
          <w:szCs w:val="24"/>
          <w:lang w:eastAsia="zh-CN"/>
        </w:rPr>
        <w:t>状</w:t>
      </w:r>
      <w:r>
        <w:rPr>
          <w:rFonts w:hint="eastAsia" w:ascii="仿宋" w:hAnsi="仿宋" w:eastAsia="仿宋" w:cs="仿宋"/>
          <w:sz w:val="24"/>
          <w:szCs w:val="24"/>
        </w:rPr>
        <w:t>态。</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标配Mini通信网卡，轻松实现通络通信。</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利用手动旁路模块可在不影响负载的情况下进行UPS维修，甚至更换UPS主机。</w:t>
      </w:r>
    </w:p>
    <w:p>
      <w:pPr>
        <w:pStyle w:val="20"/>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仿宋" w:hAnsi="仿宋" w:eastAsia="仿宋" w:cs="仿宋"/>
          <w:bCs/>
          <w:sz w:val="24"/>
        </w:rPr>
      </w:pPr>
      <w:r>
        <w:rPr>
          <w:rFonts w:hint="eastAsia" w:ascii="仿宋" w:hAnsi="仿宋" w:eastAsia="仿宋" w:cs="仿宋"/>
          <w:sz w:val="24"/>
          <w:szCs w:val="24"/>
        </w:rPr>
        <w:t>为了进一步提高效</w:t>
      </w:r>
      <w:r>
        <w:rPr>
          <w:rFonts w:hint="eastAsia" w:ascii="仿宋" w:hAnsi="仿宋" w:eastAsia="仿宋" w:cs="仿宋"/>
          <w:sz w:val="24"/>
          <w:szCs w:val="24"/>
          <w:lang w:eastAsia="zh-CN"/>
        </w:rPr>
        <w:t>率</w:t>
      </w:r>
      <w:r>
        <w:rPr>
          <w:rFonts w:hint="eastAsia" w:ascii="仿宋" w:hAnsi="仿宋" w:eastAsia="仿宋" w:cs="仿宋"/>
          <w:sz w:val="24"/>
          <w:szCs w:val="24"/>
        </w:rPr>
        <w:t>，当输入电压在 ±10% 内时，UPS可以设定工作在经济模式 (ECO MODE)，如有异常，UPS 转入在线模式。</w:t>
      </w:r>
      <w:bookmarkStart w:id="0" w:name="OLE_LINK4"/>
      <w:bookmarkStart w:id="1" w:name="OLE_LINK3"/>
    </w:p>
    <w:bookmarkEnd w:id="0"/>
    <w:bookmarkEnd w:id="1"/>
    <w:p>
      <w:pPr>
        <w:pStyle w:val="3"/>
        <w:numPr>
          <w:ilvl w:val="0"/>
          <w:numId w:val="0"/>
        </w:numPr>
        <w:tabs>
          <w:tab w:val="left" w:pos="480"/>
        </w:tabs>
        <w:adjustRightInd/>
        <w:spacing w:before="120" w:beforeLines="50" w:after="120" w:afterLines="50" w:line="360" w:lineRule="auto"/>
        <w:ind w:leftChars="0"/>
        <w:textAlignment w:val="auto"/>
        <w:rPr>
          <w:rFonts w:hint="eastAsia" w:ascii="仿宋" w:hAnsi="仿宋" w:eastAsia="仿宋" w:cs="仿宋"/>
          <w:b/>
          <w:bCs/>
          <w:kern w:val="2"/>
          <w:sz w:val="28"/>
          <w:szCs w:val="28"/>
          <w:lang w:val="en-US" w:eastAsia="zh-CN"/>
        </w:rPr>
      </w:pPr>
      <w:r>
        <w:rPr>
          <w:rFonts w:hint="eastAsia" w:ascii="仿宋" w:hAnsi="仿宋" w:eastAsia="仿宋" w:cs="仿宋"/>
          <w:b/>
          <w:bCs/>
          <w:kern w:val="2"/>
          <w:sz w:val="28"/>
          <w:szCs w:val="28"/>
          <w:lang w:val="en-US" w:eastAsia="zh-CN"/>
        </w:rPr>
        <w:t>（三）详细性能及技术指标要求：</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使用</w:t>
      </w:r>
      <w:r>
        <w:rPr>
          <w:rFonts w:hint="eastAsia" w:ascii="仿宋" w:hAnsi="仿宋" w:eastAsia="仿宋" w:cs="仿宋"/>
          <w:sz w:val="24"/>
          <w:szCs w:val="24"/>
        </w:rPr>
        <w:t>环境条件</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.1.1 正常使用条件</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环境温度：5°C~40°C；相对湿度≤93%[（40±2）°C，无凝露]</w:t>
      </w:r>
      <w:r>
        <w:rPr>
          <w:rFonts w:hint="eastAsia" w:ascii="仿宋" w:hAnsi="仿宋" w:eastAsia="仿宋" w:cs="仿宋"/>
          <w:sz w:val="24"/>
          <w:szCs w:val="24"/>
        </w:rPr>
        <w:br w:type="textWrapping"/>
      </w:r>
      <w:r>
        <w:rPr>
          <w:rFonts w:hint="eastAsia" w:ascii="仿宋" w:hAnsi="仿宋" w:eastAsia="仿宋" w:cs="仿宋"/>
          <w:sz w:val="24"/>
          <w:szCs w:val="24"/>
        </w:rPr>
        <w:t>海拔高度应不超过1000m；若超过1000m时按GB/T3859.2规定降容使用。</w:t>
      </w:r>
      <w:r>
        <w:rPr>
          <w:rFonts w:hint="eastAsia" w:ascii="仿宋" w:hAnsi="仿宋" w:eastAsia="仿宋" w:cs="仿宋"/>
          <w:sz w:val="24"/>
          <w:szCs w:val="24"/>
        </w:rPr>
        <w:br w:type="textWrapping"/>
      </w:r>
      <w:r>
        <w:rPr>
          <w:rFonts w:hint="eastAsia" w:ascii="仿宋" w:hAnsi="仿宋" w:eastAsia="仿宋" w:cs="仿宋"/>
          <w:sz w:val="24"/>
          <w:szCs w:val="24"/>
        </w:rPr>
        <w:t>温度：-25°C ~ +55°C（不含电池）</w:t>
      </w:r>
      <w:r>
        <w:rPr>
          <w:rFonts w:hint="eastAsia" w:ascii="仿宋" w:hAnsi="仿宋" w:eastAsia="仿宋" w:cs="仿宋"/>
          <w:sz w:val="24"/>
          <w:szCs w:val="24"/>
        </w:rPr>
        <w:br w:type="textWrapping"/>
      </w:r>
      <w:r>
        <w:rPr>
          <w:rFonts w:hint="eastAsia" w:ascii="仿宋" w:hAnsi="仿宋" w:eastAsia="仿宋" w:cs="仿宋"/>
          <w:sz w:val="24"/>
          <w:szCs w:val="24"/>
        </w:rPr>
        <w:t>振动、冲击条件应符合GB/T 14715-93中的5.3.2规定。</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 外观与结构</w:t>
      </w:r>
    </w:p>
    <w:p>
      <w:pPr>
        <w:keepNext w:val="0"/>
        <w:keepLines w:val="0"/>
        <w:pageBreakBefore w:val="0"/>
        <w:widowControl w:val="0"/>
        <w:kinsoku/>
        <w:wordWrap/>
        <w:overflowPunct/>
        <w:topLinePunct w:val="0"/>
        <w:bidi w:val="0"/>
        <w:adjustRightInd w:val="0"/>
        <w:snapToGrid w:val="0"/>
        <w:spacing w:line="24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3.2.1 </w:t>
      </w:r>
      <w:r>
        <w:rPr>
          <w:rFonts w:hint="eastAsia" w:ascii="仿宋" w:hAnsi="仿宋" w:eastAsia="仿宋" w:cs="仿宋"/>
          <w:b/>
          <w:bCs/>
          <w:sz w:val="24"/>
          <w:szCs w:val="24"/>
          <w:lang w:val="zh-CN" w:eastAsia="zh-CN"/>
        </w:rPr>
        <w:t>★</w:t>
      </w:r>
      <w:r>
        <w:rPr>
          <w:rFonts w:hint="eastAsia" w:ascii="仿宋" w:hAnsi="仿宋" w:eastAsia="仿宋" w:cs="仿宋"/>
          <w:b/>
          <w:bCs/>
          <w:sz w:val="24"/>
          <w:szCs w:val="24"/>
          <w:lang w:val="en-US" w:eastAsia="zh-CN"/>
        </w:rPr>
        <w:t>UPS系统设计为一体化的电源柜，即UPS主机与蓄电池为一整体柜成套设</w:t>
      </w:r>
    </w:p>
    <w:p>
      <w:pPr>
        <w:keepNext w:val="0"/>
        <w:keepLines w:val="0"/>
        <w:pageBreakBefore w:val="0"/>
        <w:widowControl w:val="0"/>
        <w:kinsoku/>
        <w:wordWrap/>
        <w:overflowPunct/>
        <w:topLinePunct w:val="0"/>
        <w:bidi w:val="0"/>
        <w:adjustRightInd w:val="0"/>
        <w:snapToGrid w:val="0"/>
        <w:spacing w:line="24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计，配置的蓄电池品牌必须为：松下或汤浅或理士。配置的蓄电池必须满足满载状</w:t>
      </w:r>
    </w:p>
    <w:p>
      <w:pPr>
        <w:keepNext w:val="0"/>
        <w:keepLines w:val="0"/>
        <w:pageBreakBefore w:val="0"/>
        <w:widowControl w:val="0"/>
        <w:kinsoku/>
        <w:wordWrap/>
        <w:overflowPunct/>
        <w:topLinePunct w:val="0"/>
        <w:bidi w:val="0"/>
        <w:adjustRightInd w:val="0"/>
        <w:snapToGrid w:val="0"/>
        <w:spacing w:line="24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态下后备时间不少于30分钟，所有设备严禁采用贴牌产品。</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2 </w:t>
      </w:r>
      <w:r>
        <w:rPr>
          <w:rFonts w:hint="eastAsia" w:ascii="仿宋" w:hAnsi="仿宋" w:eastAsia="仿宋" w:cs="仿宋"/>
          <w:sz w:val="24"/>
          <w:szCs w:val="24"/>
        </w:rPr>
        <w:t>机箱镀层牢固，漆面均匀，无剥落、锈蚀及裂痕等现象。</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机箱表面平整，所有标牌、标记、文字符号应清晰、正确、整齐。</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各种开关便于操作，灵活可靠。</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UPS应为在线式双变换构架，支持塔式/机架式互换安装，容量为</w:t>
      </w:r>
      <w:r>
        <w:rPr>
          <w:rFonts w:hint="eastAsia" w:ascii="仿宋" w:hAnsi="仿宋" w:eastAsia="仿宋" w:cs="仿宋"/>
          <w:sz w:val="24"/>
          <w:szCs w:val="24"/>
          <w:lang w:val="en-US" w:eastAsia="zh-CN"/>
        </w:rPr>
        <w:t>10-</w:t>
      </w:r>
      <w:r>
        <w:rPr>
          <w:rFonts w:hint="eastAsia" w:ascii="仿宋" w:hAnsi="仿宋" w:eastAsia="仿宋" w:cs="仿宋"/>
          <w:sz w:val="24"/>
          <w:szCs w:val="24"/>
        </w:rPr>
        <w:t>11KVA，</w:t>
      </w:r>
    </w:p>
    <w:p>
      <w:pPr>
        <w:keepNext w:val="0"/>
        <w:keepLines w:val="0"/>
        <w:pageBreakBefore w:val="0"/>
        <w:widowControl w:val="0"/>
        <w:kinsoku/>
        <w:wordWrap/>
        <w:overflowPunct/>
        <w:topLinePunct w:val="0"/>
        <w:bidi w:val="0"/>
        <w:adjustRightInd w:val="0"/>
        <w:snapToGrid w:val="0"/>
        <w:spacing w:line="240" w:lineRule="auto"/>
        <w:ind w:firstLine="1200" w:firstLineChars="500"/>
        <w:textAlignment w:val="auto"/>
        <w:rPr>
          <w:rFonts w:hint="eastAsia" w:ascii="仿宋" w:hAnsi="仿宋" w:eastAsia="仿宋" w:cs="仿宋"/>
          <w:sz w:val="24"/>
          <w:szCs w:val="24"/>
        </w:rPr>
      </w:pPr>
      <w:r>
        <w:rPr>
          <w:rFonts w:hint="eastAsia" w:ascii="仿宋" w:hAnsi="仿宋" w:eastAsia="仿宋" w:cs="仿宋"/>
          <w:sz w:val="24"/>
          <w:szCs w:val="24"/>
        </w:rPr>
        <w:t>高度3U。</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UPS应具备智能风扇，可根据温度自动调节转速。</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 UPS拥有字符显示的LCD屏幕。</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8 </w:t>
      </w:r>
      <w:r>
        <w:rPr>
          <w:rFonts w:hint="eastAsia" w:ascii="仿宋" w:hAnsi="仿宋" w:eastAsia="仿宋" w:cs="仿宋"/>
          <w:sz w:val="24"/>
          <w:szCs w:val="24"/>
        </w:rPr>
        <w:t>UPS应可以选配外置的手动旁路模块以实现在线维护。</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 电气性能</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.3.1 输入电压可变范围 ±25%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.3.2 输入功率因数 ≥0.99</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.3.3 输入电流谐波成分 &lt;5%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.3.4 输入频率  50Hz±10%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.3.5 频率跟踪范围 50Hz±4%.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.3.6 频率跟踪速率 ≤1Hz/s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.3.7 UPS需支持1+1并机冗余，且不需额外配置并机卡或附件。</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.3.8 电池逆变工作模式输出频率 （50+0.5）Hz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.3.9 在线性负载情况下，其输出波形失真度 ≤3%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.3.10 输出电压不平衡度 ≤5%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.3.11  电池逆变工作方式动态电压瞬变范围 ±5%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.3.12 电池逆变工作模式下，瞬变响应恢复时间 ≤20ms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.3.13 UPS的充电电流应不小于8A</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.3.14 市电电池切换时间 0ms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.3.15 旁路逆变切换时间 &lt;1ms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.3.16 正常工作方式下电源效率  ≥80%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.3.17 并机冗余状态下需可以共享电池组以节约成本</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.3.18 输出电流峰值系数 ≥3：1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.3.19过载能力：UPS在正常工作方式情况下，过载125%的工作时间应不少于5min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.3.20 噪音 &lt;60dB(A)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.3.21 UPS需具备无电池开机功能，即在没有电池或者电池故障时仍能正常开启UPS并</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工作在在线双变换模式。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.3.22 UPS的蓄电池直流额定电压应为240VDC </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.4 电磁兼容限值</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.4.1传导干扰</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在150KHz~30MHz频段内，系统电源线上的传导干扰电平应符合YD/T 983-1998</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中5.1表2中规定的限制。</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.4.2 电磁辐射干扰</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在30MHz~1000MHz频段内系统的电磁辐射干扰电压电平应符合YD/T 983-1998中</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5.2表4中规定的限值。</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.4.3 抗干扰性能要求</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应符合YD/T 983-1998中7.3表9中规定的判断准则。</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 保护功能</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.5.1输出短路保护</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输出负载短路时，UPS应立即自动关闭输出，同时发出声光警告。</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.5.2 输出过载保护</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输出负载超过UPS额定负载时，应发出声光告警；超出过载能力时，应使用旁路</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供电。</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.5.3 过温度保护</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UPS机内运行温度过高时，应发出声光告警并自动转为旁路供电。</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3</w:t>
      </w:r>
      <w:r>
        <w:rPr>
          <w:rFonts w:hint="eastAsia" w:ascii="仿宋" w:hAnsi="仿宋" w:eastAsia="仿宋" w:cs="仿宋"/>
          <w:sz w:val="24"/>
          <w:szCs w:val="24"/>
        </w:rPr>
        <w:t>.5.4 电池电压低保护</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当UPS在电池逆变工作方式时，电池电压降至保护点时，发出声光告警，停止供</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电。</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.5.5 输出过欠压保护</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UPS输出电压超过设定过、欠电压值时，发出声光告警并转为旁路供电。</w:t>
      </w:r>
    </w:p>
    <w:p>
      <w:pPr>
        <w:keepNext w:val="0"/>
        <w:keepLines w:val="0"/>
        <w:pageBreakBefore w:val="0"/>
        <w:widowControl w:val="0"/>
        <w:kinsoku/>
        <w:wordWrap/>
        <w:overflowPunct/>
        <w:topLinePunct w:val="0"/>
        <w:bidi w:val="0"/>
        <w:adjustRightInd w:val="0"/>
        <w:snapToGrid w:val="0"/>
        <w:spacing w:line="240" w:lineRule="auto"/>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.5.6 抗雷击浪涌能力</w:t>
      </w:r>
      <w:r>
        <w:rPr>
          <w:rFonts w:hint="eastAsia" w:ascii="仿宋" w:hAnsi="仿宋" w:eastAsia="仿宋" w:cs="仿宋"/>
          <w:sz w:val="24"/>
          <w:szCs w:val="24"/>
        </w:rPr>
        <w:br w:type="textWrapping"/>
      </w:r>
      <w:r>
        <w:rPr>
          <w:rFonts w:hint="eastAsia" w:ascii="仿宋" w:hAnsi="仿宋" w:eastAsia="仿宋" w:cs="仿宋"/>
          <w:sz w:val="24"/>
          <w:szCs w:val="24"/>
        </w:rPr>
        <w:t>UPS应具有防雷装置，能承受模拟雷击电压波形10/700us，幅值为5KV的冲击5次，模拟雷击电流波形8/20us，幅值为20KA的冲击5次，每闪冲击间隔为1min，设备仍能够正常工作。</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.6 遥测、遥信性能</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.6.1 UPS应具备RS232通讯接口和EPO紧急关机接口，需标配SNMP网络通讯卡，除标配SNMP卡外，还需拥有一个额外的通讯卡插槽。</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.6.2 遥测</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三相输入电压、直流输入电压、三相输出电压、三相输出电流、输出频率、标示蓄电池电压（可选），标示蓄电池温度（可选）。</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.6.3 遥信</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同步/不同步状态、UPS/旁路供电、蓄电池放电电压低，市电故障、UPS故障。</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.6.4 电池组智能管理功能</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UPS应具有定期对电池组进行自动浮充、均匀转换，电池组自动温度补偿功能。</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.7 外壳防护要求</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UPS保护接地装置与金属外壳的接地螺钉间应具有可靠的电气连接，其连接电阻应不大于0.1Ω。</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.8 安全要求</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.8.1绝缘电阻</w:t>
      </w:r>
    </w:p>
    <w:p>
      <w:pPr>
        <w:keepNext w:val="0"/>
        <w:keepLines w:val="0"/>
        <w:pageBreakBefore w:val="0"/>
        <w:widowControl w:val="0"/>
        <w:kinsoku/>
        <w:wordWrap/>
        <w:overflowPunct/>
        <w:topLinePunct w:val="0"/>
        <w:bidi w:val="0"/>
        <w:adjustRightInd w:val="0"/>
        <w:snapToGrid w:val="0"/>
        <w:spacing w:line="24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UPS的输入端、输出端对地，施加500V直流电压，绝缘电阻应大于2MΩ。</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.8.2绝缘强度</w:t>
      </w:r>
    </w:p>
    <w:p>
      <w:pPr>
        <w:keepNext w:val="0"/>
        <w:keepLines w:val="0"/>
        <w:pageBreakBefore w:val="0"/>
        <w:widowControl w:val="0"/>
        <w:kinsoku/>
        <w:wordWrap/>
        <w:overflowPunct/>
        <w:topLinePunct w:val="0"/>
        <w:bidi w:val="0"/>
        <w:adjustRightInd w:val="0"/>
        <w:snapToGrid w:val="0"/>
        <w:spacing w:line="240" w:lineRule="auto"/>
        <w:ind w:firstLine="1200" w:firstLineChars="500"/>
        <w:textAlignment w:val="auto"/>
        <w:rPr>
          <w:rFonts w:hint="eastAsia" w:ascii="仿宋" w:hAnsi="仿宋" w:eastAsia="仿宋" w:cs="仿宋"/>
          <w:sz w:val="24"/>
          <w:szCs w:val="24"/>
        </w:rPr>
      </w:pPr>
      <w:r>
        <w:rPr>
          <w:rFonts w:hint="eastAsia" w:ascii="仿宋" w:hAnsi="仿宋" w:eastAsia="仿宋" w:cs="仿宋"/>
          <w:sz w:val="24"/>
          <w:szCs w:val="24"/>
        </w:rPr>
        <w:t>UPS的输入端、输出端对地应能够承受50Hz，2000V的交流电压1min，漏电</w:t>
      </w:r>
    </w:p>
    <w:p>
      <w:pPr>
        <w:keepNext w:val="0"/>
        <w:keepLines w:val="0"/>
        <w:pageBreakBefore w:val="0"/>
        <w:widowControl w:val="0"/>
        <w:kinsoku/>
        <w:wordWrap/>
        <w:overflowPunct/>
        <w:topLinePunct w:val="0"/>
        <w:bidi w:val="0"/>
        <w:adjustRightInd w:val="0"/>
        <w:snapToGrid w:val="0"/>
        <w:spacing w:line="240" w:lineRule="auto"/>
        <w:ind w:firstLine="1200" w:firstLineChars="500"/>
        <w:textAlignment w:val="auto"/>
        <w:rPr>
          <w:rFonts w:hint="eastAsia" w:ascii="仿宋" w:hAnsi="仿宋" w:eastAsia="仿宋" w:cs="仿宋"/>
          <w:sz w:val="24"/>
          <w:szCs w:val="24"/>
        </w:rPr>
      </w:pPr>
      <w:r>
        <w:rPr>
          <w:rFonts w:hint="eastAsia" w:ascii="仿宋" w:hAnsi="仿宋" w:eastAsia="仿宋" w:cs="仿宋"/>
          <w:sz w:val="24"/>
          <w:szCs w:val="24"/>
        </w:rPr>
        <w:t>流应小于10mA，或2800V直流电压1min，漏电流应小于1mA，无击穿，无飞</w:t>
      </w:r>
    </w:p>
    <w:p>
      <w:pPr>
        <w:keepNext w:val="0"/>
        <w:keepLines w:val="0"/>
        <w:pageBreakBefore w:val="0"/>
        <w:widowControl w:val="0"/>
        <w:kinsoku/>
        <w:wordWrap/>
        <w:overflowPunct/>
        <w:topLinePunct w:val="0"/>
        <w:bidi w:val="0"/>
        <w:adjustRightInd w:val="0"/>
        <w:snapToGrid w:val="0"/>
        <w:spacing w:line="240" w:lineRule="auto"/>
        <w:ind w:firstLine="1200" w:firstLineChars="500"/>
        <w:textAlignment w:val="auto"/>
        <w:rPr>
          <w:rFonts w:hint="eastAsia" w:ascii="仿宋" w:hAnsi="仿宋" w:eastAsia="仿宋" w:cs="仿宋"/>
          <w:sz w:val="24"/>
          <w:szCs w:val="24"/>
        </w:rPr>
      </w:pPr>
      <w:r>
        <w:rPr>
          <w:rFonts w:hint="eastAsia" w:ascii="仿宋" w:hAnsi="仿宋" w:eastAsia="仿宋" w:cs="仿宋"/>
          <w:sz w:val="24"/>
          <w:szCs w:val="24"/>
        </w:rPr>
        <w:t>弧。</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.8.3 对地漏电流</w:t>
      </w:r>
    </w:p>
    <w:p>
      <w:pPr>
        <w:keepNext w:val="0"/>
        <w:keepLines w:val="0"/>
        <w:pageBreakBefore w:val="0"/>
        <w:widowControl w:val="0"/>
        <w:kinsoku/>
        <w:wordWrap/>
        <w:overflowPunct/>
        <w:topLinePunct w:val="0"/>
        <w:bidi w:val="0"/>
        <w:adjustRightInd w:val="0"/>
        <w:snapToGrid w:val="0"/>
        <w:spacing w:line="240" w:lineRule="auto"/>
        <w:ind w:firstLine="1200" w:firstLineChars="500"/>
        <w:textAlignment w:val="auto"/>
        <w:rPr>
          <w:rFonts w:hint="eastAsia" w:ascii="仿宋" w:hAnsi="仿宋" w:eastAsia="仿宋" w:cs="仿宋"/>
          <w:sz w:val="24"/>
          <w:szCs w:val="24"/>
        </w:rPr>
      </w:pPr>
      <w:r>
        <w:rPr>
          <w:rFonts w:hint="eastAsia" w:ascii="仿宋" w:hAnsi="仿宋" w:eastAsia="仿宋" w:cs="仿宋"/>
          <w:sz w:val="24"/>
          <w:szCs w:val="24"/>
        </w:rPr>
        <w:t>UPS 机壳对地的漏电流应不大于3.5mA。</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.9 可靠性要求</w:t>
      </w:r>
    </w:p>
    <w:p>
      <w:pPr>
        <w:keepNext w:val="0"/>
        <w:keepLines w:val="0"/>
        <w:pageBreakBefore w:val="0"/>
        <w:widowControl w:val="0"/>
        <w:kinsoku/>
        <w:wordWrap/>
        <w:overflowPunct/>
        <w:topLinePunct w:val="0"/>
        <w:bidi w:val="0"/>
        <w:adjustRightInd w:val="0"/>
        <w:snapToGrid w:val="0"/>
        <w:spacing w:line="240" w:lineRule="auto"/>
        <w:ind w:firstLine="480" w:firstLineChars="200"/>
        <w:textAlignment w:val="auto"/>
        <w:rPr>
          <w:rFonts w:hint="eastAsia" w:ascii="仿宋" w:hAnsi="仿宋" w:eastAsia="仿宋" w:cs="仿宋"/>
          <w:b/>
          <w:bCs/>
          <w:i w:val="0"/>
          <w:caps w:val="0"/>
          <w:color w:val="000000"/>
          <w:spacing w:val="0"/>
          <w:sz w:val="28"/>
          <w:szCs w:val="28"/>
          <w:shd w:val="clear" w:fill="FFFFFF"/>
          <w:lang w:val="en-US" w:eastAsia="zh-CN"/>
        </w:rPr>
      </w:pPr>
      <w:r>
        <w:rPr>
          <w:rFonts w:hint="eastAsia" w:ascii="仿宋" w:hAnsi="仿宋" w:eastAsia="仿宋" w:cs="仿宋"/>
          <w:sz w:val="24"/>
          <w:szCs w:val="24"/>
        </w:rPr>
        <w:t>UPS设备在正常使用环境条件下，平均无故障间隔时间MTBF应不小于100000小时（不含蓄电池）。</w:t>
      </w:r>
    </w:p>
    <w:p>
      <w:pPr>
        <w:pStyle w:val="3"/>
        <w:numPr>
          <w:ilvl w:val="0"/>
          <w:numId w:val="0"/>
        </w:numPr>
        <w:tabs>
          <w:tab w:val="left" w:pos="480"/>
        </w:tabs>
        <w:adjustRightInd/>
        <w:spacing w:before="120" w:beforeLines="50" w:after="120" w:afterLines="50" w:line="360" w:lineRule="auto"/>
        <w:ind w:leftChars="0"/>
        <w:textAlignment w:val="auto"/>
        <w:rPr>
          <w:rFonts w:hint="eastAsia" w:ascii="仿宋" w:hAnsi="仿宋" w:eastAsia="仿宋" w:cs="仿宋"/>
          <w:b/>
          <w:bCs/>
          <w:kern w:val="2"/>
          <w:sz w:val="28"/>
          <w:szCs w:val="28"/>
          <w:lang w:val="en-US" w:eastAsia="zh-CN"/>
        </w:rPr>
      </w:pPr>
      <w:r>
        <w:rPr>
          <w:rFonts w:hint="eastAsia" w:ascii="仿宋" w:hAnsi="仿宋" w:eastAsia="仿宋" w:cs="仿宋"/>
          <w:b/>
          <w:bCs/>
          <w:kern w:val="2"/>
          <w:sz w:val="28"/>
          <w:szCs w:val="28"/>
          <w:lang w:val="en-US" w:eastAsia="zh-CN"/>
        </w:rPr>
        <w:t>（四）配电产品要求：</w:t>
      </w:r>
    </w:p>
    <w:p>
      <w:pPr>
        <w:pStyle w:val="4"/>
        <w:pageBreakBefore w:val="0"/>
        <w:kinsoku/>
        <w:wordWrap/>
        <w:topLinePunct w:val="0"/>
        <w:bidi w:val="0"/>
        <w:adjustRightInd w:val="0"/>
        <w:snapToGrid w:val="0"/>
        <w:spacing w:line="240" w:lineRule="auto"/>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 输入/输出配电箱要求：</w:t>
      </w:r>
    </w:p>
    <w:p>
      <w:pPr>
        <w:pStyle w:val="14"/>
        <w:pageBreakBefore w:val="0"/>
        <w:kinsoku/>
        <w:wordWrap/>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UPS系统设置机外维修旁路，以保障UPS系统故障、报废更换，负载能真正实现不停电运行操作。配电产品的开关均采用施耐德</w:t>
      </w:r>
      <w:r>
        <w:rPr>
          <w:rFonts w:hint="eastAsia" w:ascii="仿宋" w:hAnsi="仿宋" w:eastAsia="仿宋" w:cs="仿宋"/>
          <w:sz w:val="24"/>
          <w:szCs w:val="24"/>
          <w:lang w:val="en-US" w:eastAsia="zh-CN"/>
        </w:rPr>
        <w:t>品牌</w:t>
      </w:r>
      <w:r>
        <w:rPr>
          <w:rFonts w:hint="eastAsia" w:ascii="仿宋" w:hAnsi="仿宋" w:eastAsia="仿宋" w:cs="仿宋"/>
          <w:sz w:val="24"/>
          <w:szCs w:val="24"/>
        </w:rPr>
        <w:t>开关。</w:t>
      </w:r>
    </w:p>
    <w:p>
      <w:pPr>
        <w:pStyle w:val="4"/>
        <w:pageBreakBefore w:val="0"/>
        <w:kinsoku/>
        <w:wordWrap/>
        <w:topLinePunct w:val="0"/>
        <w:bidi w:val="0"/>
        <w:adjustRightInd w:val="0"/>
        <w:snapToGrid w:val="0"/>
        <w:spacing w:line="240" w:lineRule="auto"/>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 UPS配线要求：</w:t>
      </w:r>
    </w:p>
    <w:p>
      <w:pPr>
        <w:pStyle w:val="14"/>
        <w:pageBreakBefore w:val="0"/>
        <w:kinsoku/>
        <w:wordWrap/>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UPS输入/输出电缆必须采用</w:t>
      </w:r>
      <w:r>
        <w:rPr>
          <w:rFonts w:hint="eastAsia" w:ascii="仿宋" w:hAnsi="仿宋" w:eastAsia="仿宋" w:cs="仿宋"/>
          <w:sz w:val="24"/>
          <w:szCs w:val="24"/>
          <w:lang w:val="en-US" w:eastAsia="zh-CN"/>
        </w:rPr>
        <w:t>国优品牌的国标电线或</w:t>
      </w:r>
      <w:r>
        <w:rPr>
          <w:rFonts w:hint="eastAsia" w:ascii="仿宋" w:hAnsi="仿宋" w:eastAsia="仿宋" w:cs="仿宋"/>
          <w:sz w:val="24"/>
          <w:szCs w:val="24"/>
        </w:rPr>
        <w:t>电缆。</w:t>
      </w:r>
    </w:p>
    <w:p>
      <w:pPr>
        <w:pStyle w:val="14"/>
        <w:pageBreakBefore w:val="0"/>
        <w:kinsoku/>
        <w:wordWrap/>
        <w:topLinePunct w:val="0"/>
        <w:bidi w:val="0"/>
        <w:adjustRightInd w:val="0"/>
        <w:snapToGrid w:val="0"/>
        <w:spacing w:line="240" w:lineRule="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281" w:firstLineChars="100"/>
        <w:textAlignment w:val="auto"/>
        <w:rPr>
          <w:rFonts w:hint="eastAsia" w:ascii="仿宋" w:hAnsi="仿宋" w:eastAsia="仿宋" w:cs="仿宋"/>
          <w:b/>
          <w:bCs/>
          <w:i w:val="0"/>
          <w:caps w:val="0"/>
          <w:color w:val="000000"/>
          <w:spacing w:val="0"/>
          <w:sz w:val="28"/>
          <w:szCs w:val="28"/>
          <w:shd w:val="clear" w:fill="FFFFFF"/>
          <w:lang w:val="en-US" w:eastAsia="zh-CN"/>
        </w:rPr>
      </w:pPr>
      <w:r>
        <w:rPr>
          <w:rFonts w:hint="eastAsia" w:ascii="仿宋" w:hAnsi="仿宋" w:eastAsia="仿宋" w:cs="仿宋"/>
          <w:b/>
          <w:bCs/>
          <w:i w:val="0"/>
          <w:caps w:val="0"/>
          <w:color w:val="000000"/>
          <w:spacing w:val="0"/>
          <w:sz w:val="28"/>
          <w:szCs w:val="28"/>
          <w:shd w:val="clear" w:fill="FFFFFF"/>
          <w:lang w:val="en-US" w:eastAsia="zh-CN"/>
        </w:rPr>
        <w:t>（五）安装实施、质保及售后服务要求：</w:t>
      </w:r>
    </w:p>
    <w:p>
      <w:pPr>
        <w:pStyle w:val="3"/>
        <w:pageBreakBefore w:val="0"/>
        <w:kinsoku/>
        <w:wordWrap/>
        <w:topLinePunct w:val="0"/>
        <w:bidi w:val="0"/>
        <w:adjustRightInd w:val="0"/>
        <w:snapToGrid w:val="0"/>
        <w:spacing w:line="240" w:lineRule="auto"/>
        <w:ind w:left="0" w:leftChars="0" w:firstLine="422" w:firstLineChars="17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.1 </w:t>
      </w:r>
      <w:r>
        <w:rPr>
          <w:rFonts w:hint="eastAsia" w:ascii="仿宋" w:hAnsi="仿宋" w:eastAsia="仿宋" w:cs="仿宋"/>
          <w:sz w:val="24"/>
          <w:szCs w:val="24"/>
          <w:lang w:val="en-US" w:eastAsia="zh-CN"/>
        </w:rPr>
        <w:t>安装实施方案</w:t>
      </w:r>
    </w:p>
    <w:p>
      <w:pPr>
        <w:pStyle w:val="14"/>
        <w:pageBreakBefore w:val="0"/>
        <w:kinsoku/>
        <w:wordWrap/>
        <w:topLinePunct w:val="0"/>
        <w:bidi w:val="0"/>
        <w:adjustRightInd w:val="0"/>
        <w:snapToGrid w:val="0"/>
        <w:spacing w:line="240" w:lineRule="auto"/>
        <w:ind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供应商必须提供该项目完善的实施方案，包括但不限于对本项目涉及的设备安装、场地要求、设备承重、设备运输、设备搬运、设备的供配电等相关信息方案。供应商</w:t>
      </w:r>
      <w:r>
        <w:rPr>
          <w:rFonts w:hint="eastAsia" w:ascii="仿宋" w:hAnsi="仿宋" w:eastAsia="仿宋" w:cs="仿宋"/>
          <w:sz w:val="24"/>
          <w:szCs w:val="24"/>
        </w:rPr>
        <w:t>必须持有专业技术人员或厂家授权的工程师到现场安装，施工人员必须持有电工作业证。所有施工及安装必须符合国家标准或行业规范。安装调试好必须出具现场的安装调试报告，并由现场项目负责人签字并存档。调试报告必须包含UPS运行的各个参数记录，运行状态，并提供现场的工作图片存档，以便查验。</w:t>
      </w:r>
      <w:r>
        <w:rPr>
          <w:rFonts w:hint="eastAsia" w:ascii="仿宋" w:hAnsi="仿宋" w:eastAsia="仿宋" w:cs="仿宋"/>
          <w:sz w:val="24"/>
          <w:szCs w:val="24"/>
          <w:lang w:val="en-US" w:eastAsia="zh-CN"/>
        </w:rPr>
        <w:t>蓄电池必须提供现场测试的各个单体电池在的内阻、电压，包括蓄电池在UPS系统中不同工作状态（UPS系统放电状态中、UPS系统对蓄电池充电状态中、浮充状态中）的参数。</w:t>
      </w:r>
    </w:p>
    <w:p>
      <w:pPr>
        <w:pStyle w:val="3"/>
        <w:pageBreakBefore w:val="0"/>
        <w:kinsoku/>
        <w:wordWrap/>
        <w:topLinePunct w:val="0"/>
        <w:bidi w:val="0"/>
        <w:adjustRightInd w:val="0"/>
        <w:snapToGrid w:val="0"/>
        <w:spacing w:line="240" w:lineRule="auto"/>
        <w:ind w:left="0" w:leftChars="0" w:firstLine="422" w:firstLineChars="17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5.2质保及售后</w:t>
      </w:r>
    </w:p>
    <w:p>
      <w:pPr>
        <w:pStyle w:val="4"/>
        <w:pageBreakBefore w:val="0"/>
        <w:kinsoku/>
        <w:wordWrap/>
        <w:topLinePunct w:val="0"/>
        <w:bidi w:val="0"/>
        <w:adjustRightInd w:val="0"/>
        <w:snapToGrid w:val="0"/>
        <w:spacing w:line="240" w:lineRule="auto"/>
        <w:ind w:left="0" w:leftChars="0" w:firstLine="732" w:firstLineChars="304"/>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.2.1 保修及质保</w:t>
      </w:r>
    </w:p>
    <w:p>
      <w:pPr>
        <w:pageBreakBefore w:val="0"/>
        <w:kinsoku/>
        <w:wordWrap/>
        <w:topLinePunct w:val="0"/>
        <w:bidi w:val="0"/>
        <w:adjustRightInd w:val="0"/>
        <w:snapToGrid w:val="0"/>
        <w:spacing w:line="240" w:lineRule="auto"/>
        <w:ind w:firstLine="420"/>
        <w:rPr>
          <w:rFonts w:hint="eastAsia" w:ascii="仿宋" w:hAnsi="仿宋" w:eastAsia="仿宋" w:cs="仿宋"/>
          <w:sz w:val="24"/>
          <w:szCs w:val="24"/>
        </w:rPr>
      </w:pPr>
      <w:r>
        <w:rPr>
          <w:rFonts w:hint="eastAsia" w:ascii="仿宋" w:hAnsi="仿宋" w:eastAsia="仿宋" w:cs="仿宋"/>
          <w:sz w:val="24"/>
          <w:szCs w:val="24"/>
          <w:lang w:val="en-US" w:eastAsia="zh-CN"/>
        </w:rPr>
        <w:t>供应商必须提供</w:t>
      </w:r>
      <w:r>
        <w:rPr>
          <w:rFonts w:hint="eastAsia" w:ascii="仿宋" w:hAnsi="仿宋" w:eastAsia="仿宋" w:cs="仿宋"/>
          <w:sz w:val="24"/>
          <w:szCs w:val="24"/>
        </w:rPr>
        <w:t>UPS主机三年质保服务，</w:t>
      </w:r>
      <w:r>
        <w:rPr>
          <w:rFonts w:hint="eastAsia" w:ascii="仿宋" w:hAnsi="仿宋" w:eastAsia="仿宋" w:cs="仿宋"/>
          <w:sz w:val="24"/>
          <w:szCs w:val="24"/>
          <w:lang w:val="en-US" w:eastAsia="zh-CN"/>
        </w:rPr>
        <w:t>必须提供原厂质保承诺函或通过厂家官网、售后服务电话等方式查询确认三年质保服务为原厂质保服务。</w:t>
      </w:r>
      <w:r>
        <w:rPr>
          <w:rFonts w:hint="eastAsia" w:ascii="仿宋" w:hAnsi="仿宋" w:eastAsia="仿宋" w:cs="仿宋"/>
          <w:sz w:val="24"/>
          <w:szCs w:val="24"/>
        </w:rPr>
        <w:t>提供7*24小时的服务。每次的服务需要提供现场的工作照片存档，以便查验。</w:t>
      </w:r>
    </w:p>
    <w:p>
      <w:pPr>
        <w:pStyle w:val="4"/>
        <w:pageBreakBefore w:val="0"/>
        <w:kinsoku/>
        <w:wordWrap/>
        <w:topLinePunct w:val="0"/>
        <w:bidi w:val="0"/>
        <w:adjustRightInd w:val="0"/>
        <w:snapToGrid w:val="0"/>
        <w:spacing w:line="240" w:lineRule="auto"/>
        <w:ind w:left="0" w:leftChars="0" w:firstLine="732" w:firstLineChars="30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5.2.2月度巡检</w:t>
      </w:r>
    </w:p>
    <w:p>
      <w:pPr>
        <w:pageBreakBefore w:val="0"/>
        <w:kinsoku/>
        <w:wordWrap/>
        <w:topLinePunct w:val="0"/>
        <w:bidi w:val="0"/>
        <w:adjustRightInd w:val="0"/>
        <w:snapToGrid w:val="0"/>
        <w:spacing w:line="240" w:lineRule="auto"/>
        <w:ind w:firstLine="420"/>
        <w:rPr>
          <w:rFonts w:hint="eastAsia" w:ascii="仿宋" w:hAnsi="仿宋" w:eastAsia="仿宋" w:cs="仿宋"/>
          <w:sz w:val="24"/>
          <w:szCs w:val="24"/>
        </w:rPr>
      </w:pPr>
      <w:r>
        <w:rPr>
          <w:rFonts w:hint="eastAsia" w:ascii="仿宋" w:hAnsi="仿宋" w:eastAsia="仿宋" w:cs="仿宋"/>
          <w:sz w:val="24"/>
          <w:szCs w:val="24"/>
        </w:rPr>
        <w:t>质保期内，</w:t>
      </w:r>
      <w:r>
        <w:rPr>
          <w:rFonts w:hint="eastAsia" w:ascii="仿宋" w:hAnsi="仿宋" w:eastAsia="仿宋" w:cs="仿宋"/>
          <w:sz w:val="24"/>
          <w:szCs w:val="24"/>
          <w:lang w:val="en-US" w:eastAsia="zh-CN"/>
        </w:rPr>
        <w:t>供应</w:t>
      </w:r>
      <w:r>
        <w:rPr>
          <w:rFonts w:hint="eastAsia" w:ascii="仿宋" w:hAnsi="仿宋" w:eastAsia="仿宋" w:cs="仿宋"/>
          <w:sz w:val="24"/>
          <w:szCs w:val="24"/>
        </w:rPr>
        <w:t>商需自设备开机投入运行之日起，每月对UPS运行状态及运行参数进行查看并记录，包括UPS的输入输出电压、频率、电流、负载电流，负载量变化等相关信息，以确保设备的正常运行。每月巡检服务需提供现场的工作照片存档，以便查验。</w:t>
      </w:r>
    </w:p>
    <w:p>
      <w:pPr>
        <w:pStyle w:val="4"/>
        <w:pageBreakBefore w:val="0"/>
        <w:kinsoku/>
        <w:wordWrap/>
        <w:topLinePunct w:val="0"/>
        <w:bidi w:val="0"/>
        <w:adjustRightInd w:val="0"/>
        <w:snapToGrid w:val="0"/>
        <w:spacing w:line="240" w:lineRule="auto"/>
        <w:ind w:left="0" w:leftChars="0" w:firstLine="732" w:firstLineChars="30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5.2.3 季度巡检</w:t>
      </w:r>
    </w:p>
    <w:p>
      <w:pPr>
        <w:pageBreakBefore w:val="0"/>
        <w:kinsoku/>
        <w:wordWrap/>
        <w:topLinePunct w:val="0"/>
        <w:bidi w:val="0"/>
        <w:adjustRightInd w:val="0"/>
        <w:snapToGrid w:val="0"/>
        <w:spacing w:line="240" w:lineRule="auto"/>
        <w:ind w:firstLine="420"/>
        <w:rPr>
          <w:rFonts w:hint="eastAsia" w:ascii="仿宋" w:hAnsi="仿宋" w:eastAsia="仿宋" w:cs="仿宋"/>
          <w:sz w:val="24"/>
          <w:szCs w:val="24"/>
        </w:rPr>
      </w:pPr>
      <w:r>
        <w:rPr>
          <w:rFonts w:hint="eastAsia" w:ascii="仿宋" w:hAnsi="仿宋" w:eastAsia="仿宋" w:cs="仿宋"/>
          <w:sz w:val="24"/>
          <w:szCs w:val="24"/>
        </w:rPr>
        <w:t>质保期内，</w:t>
      </w:r>
      <w:r>
        <w:rPr>
          <w:rFonts w:hint="eastAsia" w:ascii="仿宋" w:hAnsi="仿宋" w:eastAsia="仿宋" w:cs="仿宋"/>
          <w:sz w:val="24"/>
          <w:szCs w:val="24"/>
          <w:lang w:val="en-US" w:eastAsia="zh-CN"/>
        </w:rPr>
        <w:t>供应</w:t>
      </w:r>
      <w:r>
        <w:rPr>
          <w:rFonts w:hint="eastAsia" w:ascii="仿宋" w:hAnsi="仿宋" w:eastAsia="仿宋" w:cs="仿宋"/>
          <w:sz w:val="24"/>
          <w:szCs w:val="24"/>
        </w:rPr>
        <w:t>商需自设备开机投入运行之日起，每三个月（每季度）需对UPS系统、蓄电池进行预防性巡检维保服务，包括对UPS主机进行检查、除尘、测量各运行参数、检查散热风扇；对UPS蓄电池进行各电池单体进行端电压、内阻、运行温度进行测量并记录形成报告。季度巡检工作需提供现场工作照片存档，以便查验。</w:t>
      </w:r>
    </w:p>
    <w:p>
      <w:pPr>
        <w:pStyle w:val="4"/>
        <w:pageBreakBefore w:val="0"/>
        <w:kinsoku/>
        <w:wordWrap/>
        <w:topLinePunct w:val="0"/>
        <w:bidi w:val="0"/>
        <w:adjustRightInd w:val="0"/>
        <w:snapToGrid w:val="0"/>
        <w:spacing w:line="240" w:lineRule="auto"/>
        <w:ind w:left="0" w:leftChars="0" w:firstLine="732" w:firstLineChars="30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5.2.4 年度维保</w:t>
      </w:r>
    </w:p>
    <w:p>
      <w:pPr>
        <w:pageBreakBefore w:val="0"/>
        <w:kinsoku/>
        <w:wordWrap/>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 xml:space="preserve">    质保期内，</w:t>
      </w:r>
      <w:r>
        <w:rPr>
          <w:rFonts w:hint="eastAsia" w:ascii="仿宋" w:hAnsi="仿宋" w:eastAsia="仿宋" w:cs="仿宋"/>
          <w:sz w:val="24"/>
          <w:szCs w:val="24"/>
          <w:lang w:val="en-US" w:eastAsia="zh-CN"/>
        </w:rPr>
        <w:t>供应</w:t>
      </w:r>
      <w:r>
        <w:rPr>
          <w:rFonts w:hint="eastAsia" w:ascii="仿宋" w:hAnsi="仿宋" w:eastAsia="仿宋" w:cs="仿宋"/>
          <w:sz w:val="24"/>
          <w:szCs w:val="24"/>
        </w:rPr>
        <w:t>商需自设备开机投入运行之日起，每年需对UPS设备进行一次大的维保服务，停机转维修/机外旁路，对UPS主机的各连接线缆接头、蓄电池的连接等进行检查并紧固，并利用假负载对UPS主机系统及蓄电池进行核对性的带载放电试验，以保障UPS主机及蓄电池工作在最佳状态。放电试验必须提供各个单体蓄电池的内阻、电压以及运行温度等相关测试报告提交并存档。年度维保工作需提供现场工作照片存档，以便查验。</w:t>
      </w:r>
    </w:p>
    <w:p>
      <w:pPr>
        <w:pageBreakBefore w:val="0"/>
        <w:kinsoku/>
        <w:wordWrap/>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备注：技术参数中，</w:t>
      </w:r>
      <w:r>
        <w:rPr>
          <w:rFonts w:hint="eastAsia" w:ascii="仿宋" w:hAnsi="仿宋" w:eastAsia="仿宋" w:cs="仿宋"/>
          <w:color w:val="000000"/>
          <w:kern w:val="0"/>
          <w:sz w:val="24"/>
          <w:szCs w:val="24"/>
        </w:rPr>
        <w:t>★部分指标必须要满足</w:t>
      </w:r>
      <w:bookmarkStart w:id="2" w:name="_GoBack"/>
      <w:bookmarkEnd w:id="2"/>
      <w:r>
        <w:rPr>
          <w:rFonts w:hint="eastAsia" w:ascii="仿宋" w:hAnsi="仿宋" w:eastAsia="仿宋" w:cs="仿宋"/>
          <w:sz w:val="24"/>
          <w:szCs w:val="24"/>
        </w:rPr>
        <w:t>。</w:t>
      </w:r>
    </w:p>
    <w:p>
      <w:pPr>
        <w:pageBreakBefore w:val="0"/>
        <w:kinsoku/>
        <w:wordWrap/>
        <w:topLinePunct w:val="0"/>
        <w:bidi w:val="0"/>
        <w:adjustRightInd w:val="0"/>
        <w:snapToGrid w:val="0"/>
        <w:spacing w:line="240" w:lineRule="auto"/>
        <w:rPr>
          <w:rFonts w:hint="eastAsia" w:ascii="仿宋" w:hAnsi="仿宋" w:eastAsia="仿宋" w:cs="仿宋"/>
          <w:sz w:val="28"/>
          <w:szCs w:val="28"/>
        </w:rPr>
      </w:pPr>
    </w:p>
    <w:p>
      <w:pPr>
        <w:pageBreakBefore w:val="0"/>
        <w:kinsoku/>
        <w:wordWrap/>
        <w:topLinePunct w:val="0"/>
        <w:bidi w:val="0"/>
        <w:adjustRightInd w:val="0"/>
        <w:snapToGrid w:val="0"/>
        <w:spacing w:line="240" w:lineRule="auto"/>
        <w:rPr>
          <w:rFonts w:hint="eastAsia" w:ascii="仿宋" w:hAnsi="仿宋" w:eastAsia="仿宋" w:cs="仿宋"/>
          <w:sz w:val="28"/>
          <w:szCs w:val="28"/>
        </w:rPr>
      </w:pPr>
    </w:p>
    <w:p>
      <w:pPr>
        <w:pageBreakBefore w:val="0"/>
        <w:kinsoku/>
        <w:wordWrap/>
        <w:topLinePunct w:val="0"/>
        <w:bidi w:val="0"/>
        <w:adjustRightInd w:val="0"/>
        <w:snapToGrid w:val="0"/>
        <w:spacing w:line="240" w:lineRule="auto"/>
        <w:rPr>
          <w:rFonts w:hint="eastAsia" w:ascii="仿宋" w:hAnsi="仿宋" w:eastAsia="仿宋" w:cs="仿宋"/>
          <w:sz w:val="28"/>
          <w:szCs w:val="28"/>
        </w:rPr>
      </w:pPr>
    </w:p>
    <w:p>
      <w:pPr>
        <w:pageBreakBefore w:val="0"/>
        <w:kinsoku/>
        <w:wordWrap/>
        <w:topLinePunct w:val="0"/>
        <w:bidi w:val="0"/>
        <w:adjustRightInd w:val="0"/>
        <w:snapToGrid w:val="0"/>
        <w:spacing w:line="240" w:lineRule="auto"/>
        <w:rPr>
          <w:rFonts w:hint="eastAsia" w:ascii="仿宋" w:hAnsi="仿宋" w:eastAsia="仿宋" w:cs="仿宋"/>
          <w:sz w:val="28"/>
          <w:szCs w:val="28"/>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b/>
          <w:bCs/>
          <w:i w:val="0"/>
          <w:caps w:val="0"/>
          <w:color w:val="000000"/>
          <w:spacing w:val="0"/>
          <w:sz w:val="32"/>
          <w:szCs w:val="32"/>
          <w:shd w:val="clear" w:fill="FFFFFF"/>
          <w:lang w:val="en-US" w:eastAsia="zh-CN"/>
        </w:rPr>
      </w:pPr>
      <w:r>
        <w:rPr>
          <w:rFonts w:hint="eastAsia" w:ascii="黑体" w:hAnsi="黑体" w:eastAsia="黑体" w:cs="黑体"/>
          <w:b/>
          <w:bCs/>
          <w:i w:val="0"/>
          <w:caps w:val="0"/>
          <w:color w:val="000000"/>
          <w:spacing w:val="0"/>
          <w:sz w:val="32"/>
          <w:szCs w:val="32"/>
          <w:shd w:val="clear" w:fill="FFFFFF"/>
          <w:lang w:val="en-US" w:eastAsia="zh-CN"/>
        </w:rPr>
        <w:t>工程量清单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bCs/>
          <w:i w:val="0"/>
          <w:caps w:val="0"/>
          <w:color w:val="000000"/>
          <w:spacing w:val="0"/>
          <w:sz w:val="32"/>
          <w:szCs w:val="32"/>
          <w:shd w:val="clear" w:fill="FFFFFF"/>
          <w:lang w:val="en-US" w:eastAsia="zh-CN"/>
        </w:rPr>
      </w:pPr>
    </w:p>
    <w:tbl>
      <w:tblPr>
        <w:tblStyle w:val="10"/>
        <w:tblW w:w="91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1990"/>
        <w:gridCol w:w="2580"/>
        <w:gridCol w:w="748"/>
        <w:gridCol w:w="932"/>
        <w:gridCol w:w="2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82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9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w:t>
            </w:r>
          </w:p>
        </w:tc>
        <w:tc>
          <w:tcPr>
            <w:tcW w:w="258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参考型号</w:t>
            </w:r>
          </w:p>
        </w:tc>
        <w:tc>
          <w:tcPr>
            <w:tcW w:w="74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93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203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99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10KVA UPS一体化电源柜</w:t>
            </w:r>
          </w:p>
        </w:tc>
        <w:tc>
          <w:tcPr>
            <w:tcW w:w="2580" w:type="dxa"/>
            <w:shd w:val="clear" w:color="auto" w:fill="auto"/>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SURT-10KVA/Netys RT-10KVA/ITA-10KVA</w:t>
            </w:r>
          </w:p>
        </w:tc>
        <w:tc>
          <w:tcPr>
            <w:tcW w:w="74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932"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2038" w:type="dxa"/>
            <w:vMerge w:val="restart"/>
            <w:vAlign w:val="top"/>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具体配置数量及容量根据各自品牌进行配置及报价，但必须满足满载状态下不少于30分钟。电池数量配置为两台的配置。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2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99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蓄电池</w:t>
            </w:r>
          </w:p>
        </w:tc>
        <w:tc>
          <w:tcPr>
            <w:tcW w:w="2580" w:type="dxa"/>
            <w:shd w:val="clear" w:color="auto" w:fill="auto"/>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松下/汤浅/理士(12V/38AH)</w:t>
            </w:r>
          </w:p>
        </w:tc>
        <w:tc>
          <w:tcPr>
            <w:tcW w:w="748"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只</w:t>
            </w:r>
          </w:p>
        </w:tc>
        <w:tc>
          <w:tcPr>
            <w:tcW w:w="932"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2038" w:type="dxa"/>
            <w:vMerge w:val="continue"/>
            <w:vAlign w:val="center"/>
          </w:tcPr>
          <w:p>
            <w:pPr>
              <w:jc w:val="left"/>
              <w:rPr>
                <w:rFonts w:hint="default"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82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99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机外旁路开关</w:t>
            </w:r>
          </w:p>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系统</w:t>
            </w:r>
          </w:p>
        </w:tc>
        <w:tc>
          <w:tcPr>
            <w:tcW w:w="258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施耐德开关成套</w:t>
            </w:r>
          </w:p>
        </w:tc>
        <w:tc>
          <w:tcPr>
            <w:tcW w:w="748"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932"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203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829"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9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UPS输入/输出配线</w:t>
            </w:r>
          </w:p>
        </w:tc>
        <w:tc>
          <w:tcPr>
            <w:tcW w:w="2580" w:type="dxa"/>
            <w:vAlign w:val="center"/>
          </w:tcPr>
          <w:p>
            <w:pPr>
              <w:jc w:val="center"/>
              <w:rPr>
                <w:rFonts w:hint="eastAsia" w:ascii="仿宋" w:hAnsi="仿宋" w:eastAsia="仿宋" w:cs="仿宋"/>
                <w:sz w:val="24"/>
                <w:szCs w:val="24"/>
                <w:lang w:val="en-US" w:eastAsia="zh-CN"/>
              </w:rPr>
            </w:pPr>
          </w:p>
        </w:tc>
        <w:tc>
          <w:tcPr>
            <w:tcW w:w="748"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932"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03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99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质保期内维保服务</w:t>
            </w:r>
          </w:p>
        </w:tc>
        <w:tc>
          <w:tcPr>
            <w:tcW w:w="258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质保期内月度巡查、季度巡检、年度维护服务，确保UPS及其负载设备的安全稳定运行。</w:t>
            </w:r>
          </w:p>
        </w:tc>
        <w:tc>
          <w:tcPr>
            <w:tcW w:w="74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9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038" w:type="dxa"/>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99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80" w:type="dxa"/>
            <w:vAlign w:val="center"/>
          </w:tcPr>
          <w:p>
            <w:pPr>
              <w:jc w:val="center"/>
              <w:rPr>
                <w:rFonts w:hint="eastAsia" w:ascii="仿宋" w:hAnsi="仿宋" w:eastAsia="仿宋" w:cs="仿宋"/>
                <w:sz w:val="24"/>
                <w:szCs w:val="24"/>
                <w:lang w:val="en-US" w:eastAsia="zh-CN"/>
              </w:rPr>
            </w:pPr>
          </w:p>
        </w:tc>
        <w:tc>
          <w:tcPr>
            <w:tcW w:w="74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项</w:t>
            </w:r>
          </w:p>
        </w:tc>
        <w:tc>
          <w:tcPr>
            <w:tcW w:w="93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038" w:type="dxa"/>
            <w:vAlign w:val="center"/>
          </w:tcPr>
          <w:p>
            <w:pPr>
              <w:jc w:val="center"/>
              <w:rPr>
                <w:rFonts w:hint="eastAsia" w:ascii="仿宋" w:hAnsi="仿宋" w:eastAsia="仿宋" w:cs="仿宋"/>
                <w:sz w:val="24"/>
                <w:szCs w:val="24"/>
              </w:rPr>
            </w:pPr>
          </w:p>
        </w:tc>
      </w:tr>
    </w:tbl>
    <w:p>
      <w:pPr>
        <w:pageBreakBefore w:val="0"/>
        <w:kinsoku/>
        <w:wordWrap/>
        <w:topLinePunct w:val="0"/>
        <w:bidi w:val="0"/>
        <w:adjustRightInd w:val="0"/>
        <w:snapToGrid w:val="0"/>
        <w:spacing w:line="240" w:lineRule="auto"/>
        <w:ind w:firstLine="560" w:firstLineChars="200"/>
        <w:rPr>
          <w:rFonts w:hint="eastAsia" w:ascii="仿宋" w:hAnsi="仿宋" w:eastAsia="仿宋" w:cs="仿宋"/>
          <w:sz w:val="28"/>
          <w:szCs w:val="28"/>
        </w:rPr>
      </w:pPr>
    </w:p>
    <w:p>
      <w:pPr>
        <w:pageBreakBefore w:val="0"/>
        <w:kinsoku/>
        <w:wordWrap/>
        <w:topLinePunct w:val="0"/>
        <w:bidi w:val="0"/>
        <w:adjustRightInd w:val="0"/>
        <w:snapToGri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以上工程量清单供参考，各供应商根据选型不同进行调整，但必须满足相关技术要求及现场实际安装、使用环境要求。</w:t>
      </w: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pageBreakBefore w:val="0"/>
        <w:numPr>
          <w:ilvl w:val="0"/>
          <w:numId w:val="0"/>
        </w:numPr>
        <w:kinsoku/>
        <w:wordWrap/>
        <w:topLinePunct w:val="0"/>
        <w:bidi w:val="0"/>
        <w:adjustRightInd w:val="0"/>
        <w:snapToGrid w:val="0"/>
        <w:spacing w:line="240" w:lineRule="auto"/>
        <w:rPr>
          <w:rFonts w:hint="eastAsia" w:ascii="仿宋" w:hAnsi="仿宋" w:eastAsia="仿宋" w:cs="仿宋"/>
          <w:b/>
          <w:bCs/>
          <w:sz w:val="28"/>
          <w:szCs w:val="28"/>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Chars="0"/>
        <w:jc w:val="center"/>
        <w:textAlignment w:val="auto"/>
        <w:rPr>
          <w:rFonts w:hint="eastAsia" w:ascii="黑体" w:hAnsi="黑体" w:eastAsia="黑体" w:cs="黑体"/>
          <w:b/>
          <w:bCs/>
          <w:i w:val="0"/>
          <w:caps w:val="0"/>
          <w:color w:val="000000"/>
          <w:spacing w:val="0"/>
          <w:sz w:val="32"/>
          <w:szCs w:val="32"/>
          <w:shd w:val="clear" w:fill="FFFFFF"/>
          <w:lang w:val="en-US" w:eastAsia="zh-CN"/>
        </w:rPr>
      </w:pPr>
      <w:r>
        <w:rPr>
          <w:rFonts w:hint="eastAsia" w:ascii="黑体" w:hAnsi="黑体" w:eastAsia="黑体" w:cs="黑体"/>
          <w:b/>
          <w:bCs/>
          <w:i w:val="0"/>
          <w:caps w:val="0"/>
          <w:color w:val="000000"/>
          <w:spacing w:val="0"/>
          <w:sz w:val="32"/>
          <w:szCs w:val="32"/>
          <w:shd w:val="clear" w:fill="FFFFFF"/>
          <w:lang w:val="en-US" w:eastAsia="zh-CN"/>
        </w:rPr>
        <w:t>工程类合同模板</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i w:val="0"/>
          <w:caps w:val="0"/>
          <w:color w:val="000000"/>
          <w:spacing w:val="0"/>
          <w:sz w:val="32"/>
          <w:szCs w:val="32"/>
          <w:shd w:val="clear" w:fill="FFFFFF"/>
          <w:lang w:val="en-US" w:eastAsia="zh-CN"/>
        </w:rPr>
      </w:pPr>
    </w:p>
    <w:p>
      <w:pPr>
        <w:spacing w:line="500" w:lineRule="atLeast"/>
        <w:jc w:val="center"/>
        <w:rPr>
          <w:b/>
          <w:sz w:val="44"/>
        </w:rPr>
      </w:pPr>
      <w:r>
        <w:rPr>
          <w:rFonts w:hint="eastAsia"/>
          <w:b/>
          <w:sz w:val="44"/>
        </w:rPr>
        <w:t>工程施工合同</w:t>
      </w:r>
    </w:p>
    <w:p>
      <w:pPr>
        <w:spacing w:line="500" w:lineRule="atLeast"/>
        <w:ind w:right="1440"/>
        <w:jc w:val="center"/>
        <w:rPr>
          <w:sz w:val="24"/>
        </w:rPr>
      </w:pPr>
      <w:r>
        <w:rPr>
          <w:rFonts w:hint="eastAsia"/>
          <w:sz w:val="24"/>
        </w:rPr>
        <w:t>编号：</w:t>
      </w:r>
    </w:p>
    <w:p>
      <w:pPr>
        <w:spacing w:line="360" w:lineRule="auto"/>
        <w:rPr>
          <w:sz w:val="24"/>
        </w:rPr>
      </w:pPr>
      <w:r>
        <w:rPr>
          <w:rFonts w:hint="eastAsia"/>
          <w:b/>
          <w:sz w:val="24"/>
        </w:rPr>
        <w:t>发包人：</w:t>
      </w:r>
      <w:r>
        <w:rPr>
          <w:rFonts w:hint="eastAsia"/>
          <w:color w:val="000000"/>
          <w:sz w:val="24"/>
          <w:u w:val="single"/>
        </w:rPr>
        <w:t>广东省人民医院</w:t>
      </w:r>
      <w:r>
        <w:rPr>
          <w:rFonts w:hint="eastAsia"/>
          <w:sz w:val="24"/>
        </w:rPr>
        <w:t>（以下简称甲方）</w:t>
      </w:r>
    </w:p>
    <w:p>
      <w:pPr>
        <w:spacing w:line="360" w:lineRule="auto"/>
        <w:rPr>
          <w:sz w:val="24"/>
        </w:rPr>
      </w:pPr>
      <w:r>
        <w:rPr>
          <w:rFonts w:hint="eastAsia"/>
          <w:b/>
          <w:sz w:val="24"/>
        </w:rPr>
        <w:t>承包人：</w:t>
      </w:r>
      <w:r>
        <w:rPr>
          <w:rFonts w:hint="eastAsia"/>
          <w:sz w:val="24"/>
        </w:rPr>
        <w:t>（以下简称乙方）</w:t>
      </w:r>
    </w:p>
    <w:p>
      <w:pPr>
        <w:spacing w:line="360" w:lineRule="auto"/>
        <w:ind w:firstLine="480" w:firstLineChars="200"/>
        <w:rPr>
          <w:sz w:val="24"/>
        </w:rPr>
      </w:pPr>
    </w:p>
    <w:p>
      <w:pPr>
        <w:spacing w:line="360" w:lineRule="auto"/>
        <w:ind w:firstLine="480" w:firstLineChars="200"/>
        <w:rPr>
          <w:sz w:val="24"/>
        </w:rPr>
      </w:pPr>
      <w:r>
        <w:rPr>
          <w:rFonts w:hint="eastAsia"/>
          <w:sz w:val="24"/>
        </w:rPr>
        <w:t>甲、乙双方根据广东省人民医院项目发包给乙方进行施工、调试。为保障双方的权益，确保工程的施工质量和工程进度，使之尽快竣工投产，经过友好协商，按照《中华人民共和国合同法》等有关规定，结合本工程的具体情况，就本合同规定的</w:t>
      </w:r>
      <w:r>
        <w:rPr>
          <w:rFonts w:hint="eastAsia" w:eastAsia="文鼎CS楷体"/>
          <w:sz w:val="24"/>
        </w:rPr>
        <w:t>系统</w:t>
      </w:r>
      <w:r>
        <w:rPr>
          <w:rFonts w:hint="eastAsia"/>
          <w:sz w:val="24"/>
        </w:rPr>
        <w:t>工程项目达成一致，同意签订本合同。</w:t>
      </w:r>
    </w:p>
    <w:p>
      <w:pPr>
        <w:numPr>
          <w:ilvl w:val="0"/>
          <w:numId w:val="3"/>
        </w:numPr>
        <w:spacing w:line="500" w:lineRule="atLeast"/>
        <w:rPr>
          <w:b/>
          <w:sz w:val="24"/>
        </w:rPr>
      </w:pPr>
      <w:r>
        <w:rPr>
          <w:rFonts w:hint="eastAsia"/>
          <w:b/>
          <w:sz w:val="24"/>
        </w:rPr>
        <w:t>工程名称及地点</w:t>
      </w:r>
    </w:p>
    <w:p>
      <w:pPr>
        <w:numPr>
          <w:ilvl w:val="1"/>
          <w:numId w:val="3"/>
        </w:numPr>
        <w:spacing w:line="500" w:lineRule="atLeast"/>
        <w:rPr>
          <w:sz w:val="24"/>
        </w:rPr>
      </w:pPr>
      <w:r>
        <w:rPr>
          <w:rFonts w:hint="eastAsia"/>
          <w:sz w:val="24"/>
        </w:rPr>
        <w:t>工程名称：。</w:t>
      </w:r>
    </w:p>
    <w:p>
      <w:pPr>
        <w:numPr>
          <w:ilvl w:val="1"/>
          <w:numId w:val="3"/>
        </w:numPr>
        <w:spacing w:line="500" w:lineRule="atLeast"/>
        <w:rPr>
          <w:b/>
          <w:sz w:val="24"/>
        </w:rPr>
      </w:pPr>
      <w:r>
        <w:rPr>
          <w:rFonts w:hint="eastAsia"/>
          <w:sz w:val="24"/>
        </w:rPr>
        <w:t>工程地点：。</w:t>
      </w:r>
    </w:p>
    <w:p>
      <w:pPr>
        <w:numPr>
          <w:ilvl w:val="0"/>
          <w:numId w:val="3"/>
        </w:numPr>
        <w:spacing w:line="360" w:lineRule="auto"/>
        <w:rPr>
          <w:b/>
          <w:sz w:val="24"/>
        </w:rPr>
      </w:pPr>
      <w:r>
        <w:rPr>
          <w:rFonts w:hint="eastAsia"/>
          <w:b/>
          <w:sz w:val="24"/>
        </w:rPr>
        <w:t>工程范围、内容</w:t>
      </w:r>
    </w:p>
    <w:p>
      <w:pPr>
        <w:spacing w:line="360" w:lineRule="auto"/>
        <w:ind w:firstLine="480" w:firstLineChars="200"/>
        <w:rPr>
          <w:sz w:val="24"/>
        </w:rPr>
      </w:pPr>
      <w:r>
        <w:rPr>
          <w:rFonts w:hint="eastAsia"/>
          <w:sz w:val="24"/>
        </w:rPr>
        <w:t>工程范围工程内容：</w:t>
      </w:r>
    </w:p>
    <w:p>
      <w:pPr>
        <w:spacing w:line="360" w:lineRule="auto"/>
        <w:ind w:firstLine="480" w:firstLineChars="200"/>
        <w:rPr>
          <w:sz w:val="24"/>
        </w:rPr>
      </w:pPr>
      <w:r>
        <w:rPr>
          <w:rFonts w:hint="eastAsia"/>
          <w:sz w:val="24"/>
        </w:rPr>
        <w:t>1、详见附表清单；</w:t>
      </w:r>
      <w:r>
        <w:rPr>
          <w:b/>
          <w:sz w:val="24"/>
        </w:rPr>
        <w:tab/>
      </w:r>
    </w:p>
    <w:p>
      <w:pPr>
        <w:numPr>
          <w:ilvl w:val="0"/>
          <w:numId w:val="3"/>
        </w:numPr>
        <w:spacing w:line="500" w:lineRule="atLeast"/>
        <w:rPr>
          <w:b/>
          <w:sz w:val="24"/>
        </w:rPr>
      </w:pPr>
      <w:r>
        <w:rPr>
          <w:rFonts w:hint="eastAsia"/>
          <w:b/>
          <w:sz w:val="24"/>
        </w:rPr>
        <w:t>合同价款</w:t>
      </w:r>
    </w:p>
    <w:p>
      <w:pPr>
        <w:numPr>
          <w:ilvl w:val="1"/>
          <w:numId w:val="3"/>
        </w:numPr>
        <w:tabs>
          <w:tab w:val="left" w:pos="851"/>
          <w:tab w:val="clear" w:pos="1140"/>
        </w:tabs>
        <w:spacing w:line="500" w:lineRule="atLeast"/>
        <w:ind w:left="851" w:hanging="431"/>
        <w:rPr>
          <w:sz w:val="24"/>
        </w:rPr>
      </w:pPr>
      <w:r>
        <w:rPr>
          <w:rFonts w:hint="eastAsia"/>
          <w:sz w:val="24"/>
        </w:rPr>
        <w:t>工程暂定总价为人民币元 （大写：），具体价格见附件（所列单价已包括供货、运输、安装、调试、人工、税费等一切费用）。合同价款包括双方议定的预算中的所有工作，工程结算时按发包人审定的实际发生量乘以单价结算。</w:t>
      </w:r>
    </w:p>
    <w:p>
      <w:pPr>
        <w:numPr>
          <w:ilvl w:val="1"/>
          <w:numId w:val="3"/>
        </w:numPr>
        <w:tabs>
          <w:tab w:val="left" w:pos="851"/>
          <w:tab w:val="clear" w:pos="1140"/>
        </w:tabs>
        <w:spacing w:line="500" w:lineRule="atLeast"/>
        <w:ind w:left="851" w:hanging="431"/>
        <w:rPr>
          <w:sz w:val="24"/>
        </w:rPr>
      </w:pPr>
      <w:r>
        <w:rPr>
          <w:rFonts w:hint="eastAsia"/>
          <w:sz w:val="24"/>
        </w:rPr>
        <w:t>工程结算时，因甲方要求，产生合同以外的工程量或出现部分工程内容变更的，按甲方结算审核价予以结算，原则上工程结算价不得超出原工程预算价（合同总价）的1</w:t>
      </w:r>
      <w:r>
        <w:rPr>
          <w:sz w:val="24"/>
        </w:rPr>
        <w:t>0</w:t>
      </w:r>
      <w:r>
        <w:rPr>
          <w:rFonts w:hint="eastAsia"/>
          <w:sz w:val="24"/>
        </w:rPr>
        <w:t>%。变更项目合同中有单价的（或经甲方审批的报价单中有单价的），套用合同单价（或经甲方审批的报价单中的单价）；变更项目合同中没有单价的，双方可按材料认证单或双方议定的单价或计价方法进行定价。</w:t>
      </w:r>
    </w:p>
    <w:p>
      <w:pPr>
        <w:numPr>
          <w:ilvl w:val="0"/>
          <w:numId w:val="3"/>
        </w:numPr>
        <w:spacing w:line="500" w:lineRule="atLeast"/>
        <w:rPr>
          <w:b/>
          <w:sz w:val="24"/>
        </w:rPr>
      </w:pPr>
      <w:r>
        <w:rPr>
          <w:rFonts w:hint="eastAsia"/>
          <w:b/>
          <w:sz w:val="24"/>
        </w:rPr>
        <w:t>工期</w:t>
      </w:r>
    </w:p>
    <w:p>
      <w:pPr>
        <w:numPr>
          <w:ilvl w:val="1"/>
          <w:numId w:val="4"/>
        </w:numPr>
        <w:tabs>
          <w:tab w:val="left" w:pos="851"/>
        </w:tabs>
        <w:spacing w:line="500" w:lineRule="atLeast"/>
        <w:ind w:left="851" w:hanging="431"/>
        <w:rPr>
          <w:sz w:val="24"/>
        </w:rPr>
      </w:pPr>
      <w:r>
        <w:rPr>
          <w:rFonts w:hint="eastAsia"/>
          <w:sz w:val="24"/>
          <w:szCs w:val="22"/>
        </w:rPr>
        <w:t>工期：甲方发出施工指令后</w:t>
      </w:r>
      <w:r>
        <w:rPr>
          <w:rFonts w:hint="eastAsia"/>
          <w:sz w:val="24"/>
          <w:szCs w:val="22"/>
          <w:u w:val="single"/>
          <w:lang w:val="en-US" w:eastAsia="zh-CN"/>
        </w:rPr>
        <w:t>40</w:t>
      </w:r>
      <w:r>
        <w:rPr>
          <w:rFonts w:hint="eastAsia"/>
          <w:sz w:val="24"/>
          <w:szCs w:val="22"/>
        </w:rPr>
        <w:t>个日历日，施工人完成包括清单中所涉及的所有硬件设备、材料的供货、运</w:t>
      </w:r>
      <w:r>
        <w:rPr>
          <w:rFonts w:hint="eastAsia"/>
          <w:sz w:val="24"/>
        </w:rPr>
        <w:t>输、安装、调试等全部工作</w:t>
      </w:r>
      <w:r>
        <w:rPr>
          <w:rFonts w:hint="eastAsia"/>
          <w:sz w:val="24"/>
          <w:szCs w:val="22"/>
        </w:rPr>
        <w:t>）</w:t>
      </w:r>
      <w:r>
        <w:rPr>
          <w:rFonts w:hint="eastAsia"/>
          <w:sz w:val="24"/>
        </w:rPr>
        <w:t>；</w:t>
      </w:r>
    </w:p>
    <w:p>
      <w:pPr>
        <w:numPr>
          <w:ilvl w:val="1"/>
          <w:numId w:val="4"/>
        </w:numPr>
        <w:tabs>
          <w:tab w:val="left" w:pos="851"/>
          <w:tab w:val="clear" w:pos="1140"/>
        </w:tabs>
        <w:spacing w:line="500" w:lineRule="atLeast"/>
        <w:ind w:left="851" w:hanging="431"/>
        <w:rPr>
          <w:sz w:val="24"/>
        </w:rPr>
      </w:pPr>
      <w:r>
        <w:rPr>
          <w:rFonts w:hint="eastAsia"/>
          <w:sz w:val="24"/>
        </w:rPr>
        <w:t>验收日期；整体验收不迟于工程竣工后10个工作日；</w:t>
      </w:r>
    </w:p>
    <w:p>
      <w:pPr>
        <w:numPr>
          <w:ilvl w:val="1"/>
          <w:numId w:val="4"/>
        </w:numPr>
        <w:tabs>
          <w:tab w:val="left" w:pos="851"/>
          <w:tab w:val="clear" w:pos="1140"/>
        </w:tabs>
        <w:spacing w:line="500" w:lineRule="atLeast"/>
        <w:ind w:left="851" w:hanging="431"/>
        <w:rPr>
          <w:sz w:val="24"/>
        </w:rPr>
      </w:pPr>
      <w:r>
        <w:rPr>
          <w:rFonts w:hint="eastAsia"/>
          <w:sz w:val="24"/>
        </w:rPr>
        <w:t>如工程项目增加或发生大的变更，双方可重新议定工期，该议定的日期以甲乙双方书面确定为准。</w:t>
      </w:r>
    </w:p>
    <w:p>
      <w:pPr>
        <w:numPr>
          <w:ilvl w:val="0"/>
          <w:numId w:val="3"/>
        </w:numPr>
        <w:spacing w:line="500" w:lineRule="atLeast"/>
        <w:rPr>
          <w:b/>
          <w:sz w:val="24"/>
        </w:rPr>
      </w:pPr>
      <w:r>
        <w:rPr>
          <w:rFonts w:hint="eastAsia"/>
          <w:b/>
          <w:sz w:val="24"/>
        </w:rPr>
        <w:t>工程质量</w:t>
      </w:r>
    </w:p>
    <w:p>
      <w:pPr>
        <w:spacing w:line="500" w:lineRule="atLeast"/>
        <w:rPr>
          <w:sz w:val="24"/>
        </w:rPr>
      </w:pPr>
      <w:r>
        <w:rPr>
          <w:rFonts w:hint="eastAsia"/>
          <w:sz w:val="24"/>
        </w:rPr>
        <w:t xml:space="preserve">   本工程的质量等级为合格，乙方提供的产品需满足甲方的技术参数要求，必须与现有设备配套，严格按照清单要求供货，并保证本项目验收合格。</w:t>
      </w:r>
    </w:p>
    <w:p>
      <w:pPr>
        <w:spacing w:line="500" w:lineRule="atLeast"/>
        <w:ind w:firstLine="480" w:firstLineChars="200"/>
        <w:rPr>
          <w:sz w:val="24"/>
          <w:szCs w:val="22"/>
        </w:rPr>
      </w:pPr>
      <w:r>
        <w:rPr>
          <w:rFonts w:hint="eastAsia"/>
          <w:sz w:val="24"/>
          <w:szCs w:val="22"/>
        </w:rPr>
        <w:t>施工人应严格遵守国家、省有关工程质量和施工安全的法律、标准与规范等规定，认真履行合同约定的工程质量和施工安全的职责和义务。</w:t>
      </w:r>
    </w:p>
    <w:p>
      <w:pPr>
        <w:spacing w:line="500" w:lineRule="atLeast"/>
        <w:rPr>
          <w:sz w:val="24"/>
          <w:szCs w:val="22"/>
        </w:rPr>
      </w:pPr>
      <w:r>
        <w:rPr>
          <w:rFonts w:hint="eastAsia"/>
          <w:sz w:val="24"/>
          <w:szCs w:val="22"/>
        </w:rPr>
        <w:t xml:space="preserve">    乙方应对合同工程质量和施工安全负责，严格执行国家、省有关工程质量和施工安全的操作规程及管理要求，按照施工设计图纸和施工技术标准施工，不得偷工减料，不得擅自修改施工设计图纸，确保合同工程质量和施工安全。工程质量验收，按照国家或行业的质量验收标准执行。</w:t>
      </w:r>
    </w:p>
    <w:p>
      <w:pPr>
        <w:spacing w:line="500" w:lineRule="atLeast"/>
        <w:rPr>
          <w:sz w:val="24"/>
          <w:szCs w:val="22"/>
        </w:rPr>
      </w:pPr>
      <w:r>
        <w:rPr>
          <w:rFonts w:hint="eastAsia"/>
          <w:sz w:val="24"/>
          <w:szCs w:val="22"/>
        </w:rPr>
        <w:t xml:space="preserve">    乙方负责采购材料和工程设备的，应按照标准与规范、设计要求和合同约定的要求采购，乙方采购招标工程的材料和工程设备，应与其提交的投标文件相应内容一致。材料及设备进场，应根据甲方要求，提交材料设备进场报审表（附产品质量合格证明文件），由甲方审核后方可使用。</w:t>
      </w:r>
    </w:p>
    <w:p>
      <w:pPr>
        <w:spacing w:line="500" w:lineRule="atLeast"/>
        <w:rPr>
          <w:sz w:val="24"/>
        </w:rPr>
      </w:pPr>
    </w:p>
    <w:p>
      <w:pPr>
        <w:numPr>
          <w:ilvl w:val="0"/>
          <w:numId w:val="3"/>
        </w:numPr>
        <w:spacing w:line="500" w:lineRule="atLeast"/>
        <w:rPr>
          <w:b/>
          <w:sz w:val="24"/>
        </w:rPr>
      </w:pPr>
      <w:r>
        <w:rPr>
          <w:rFonts w:hint="eastAsia"/>
          <w:b/>
          <w:sz w:val="24"/>
        </w:rPr>
        <w:t>甲方权利、义务</w:t>
      </w:r>
    </w:p>
    <w:p>
      <w:pPr>
        <w:numPr>
          <w:ilvl w:val="0"/>
          <w:numId w:val="5"/>
        </w:numPr>
        <w:tabs>
          <w:tab w:val="left" w:pos="851"/>
          <w:tab w:val="clear" w:pos="1140"/>
        </w:tabs>
        <w:spacing w:line="500" w:lineRule="atLeast"/>
        <w:rPr>
          <w:sz w:val="24"/>
          <w:u w:val="single"/>
        </w:rPr>
      </w:pPr>
      <w:r>
        <w:rPr>
          <w:rFonts w:hint="eastAsia"/>
          <w:sz w:val="24"/>
        </w:rPr>
        <w:t>指定工地代表协调工程的有关事宜，办理有关手续，监督工程质量和进度。</w:t>
      </w:r>
    </w:p>
    <w:p>
      <w:pPr>
        <w:numPr>
          <w:ilvl w:val="0"/>
          <w:numId w:val="5"/>
        </w:numPr>
        <w:tabs>
          <w:tab w:val="left" w:pos="851"/>
          <w:tab w:val="clear" w:pos="1140"/>
        </w:tabs>
        <w:spacing w:line="500" w:lineRule="atLeast"/>
        <w:rPr>
          <w:sz w:val="24"/>
          <w:u w:val="single"/>
        </w:rPr>
      </w:pPr>
      <w:r>
        <w:rPr>
          <w:rFonts w:hint="eastAsia"/>
          <w:sz w:val="24"/>
        </w:rPr>
        <w:t>向乙方提供工地现场的用电用水等必要条件；</w:t>
      </w:r>
    </w:p>
    <w:p>
      <w:pPr>
        <w:numPr>
          <w:ilvl w:val="0"/>
          <w:numId w:val="5"/>
        </w:numPr>
        <w:tabs>
          <w:tab w:val="left" w:pos="851"/>
          <w:tab w:val="clear" w:pos="1140"/>
        </w:tabs>
        <w:spacing w:line="500" w:lineRule="atLeast"/>
        <w:rPr>
          <w:sz w:val="24"/>
        </w:rPr>
      </w:pPr>
      <w:r>
        <w:rPr>
          <w:rFonts w:hint="eastAsia"/>
          <w:sz w:val="24"/>
        </w:rPr>
        <w:t>协助乙方进行调试、试运行及验收工作；</w:t>
      </w:r>
    </w:p>
    <w:p>
      <w:pPr>
        <w:numPr>
          <w:ilvl w:val="0"/>
          <w:numId w:val="5"/>
        </w:numPr>
        <w:tabs>
          <w:tab w:val="left" w:pos="851"/>
          <w:tab w:val="clear" w:pos="1140"/>
        </w:tabs>
        <w:spacing w:line="500" w:lineRule="atLeast"/>
        <w:rPr>
          <w:sz w:val="24"/>
          <w:u w:val="single"/>
        </w:rPr>
      </w:pPr>
      <w:r>
        <w:rPr>
          <w:rFonts w:hint="eastAsia"/>
          <w:sz w:val="24"/>
        </w:rPr>
        <w:t>按时向乙方支付工程款项。</w:t>
      </w:r>
    </w:p>
    <w:p>
      <w:pPr>
        <w:numPr>
          <w:ilvl w:val="0"/>
          <w:numId w:val="3"/>
        </w:numPr>
        <w:spacing w:line="500" w:lineRule="atLeast"/>
        <w:rPr>
          <w:b/>
          <w:sz w:val="24"/>
        </w:rPr>
      </w:pPr>
      <w:r>
        <w:rPr>
          <w:rFonts w:hint="eastAsia"/>
          <w:b/>
          <w:sz w:val="24"/>
        </w:rPr>
        <w:t>乙方权利、义务</w:t>
      </w:r>
    </w:p>
    <w:p>
      <w:pPr>
        <w:numPr>
          <w:ilvl w:val="0"/>
          <w:numId w:val="6"/>
        </w:numPr>
        <w:tabs>
          <w:tab w:val="left" w:pos="851"/>
          <w:tab w:val="clear" w:pos="1140"/>
        </w:tabs>
        <w:spacing w:line="500" w:lineRule="atLeast"/>
        <w:ind w:left="851" w:hanging="431"/>
        <w:rPr>
          <w:sz w:val="24"/>
        </w:rPr>
      </w:pPr>
      <w:r>
        <w:rPr>
          <w:rFonts w:hint="eastAsia"/>
          <w:sz w:val="24"/>
        </w:rPr>
        <w:t xml:space="preserve">按要求完成设备材料的供货、安装、调试、验收工作； </w:t>
      </w:r>
    </w:p>
    <w:p>
      <w:pPr>
        <w:numPr>
          <w:ilvl w:val="0"/>
          <w:numId w:val="6"/>
        </w:numPr>
        <w:tabs>
          <w:tab w:val="left" w:pos="851"/>
          <w:tab w:val="clear" w:pos="1140"/>
        </w:tabs>
        <w:spacing w:line="500" w:lineRule="atLeast"/>
        <w:ind w:left="851" w:hanging="431"/>
        <w:rPr>
          <w:sz w:val="24"/>
        </w:rPr>
      </w:pPr>
      <w:r>
        <w:rPr>
          <w:rFonts w:hint="eastAsia"/>
          <w:sz w:val="24"/>
        </w:rPr>
        <w:t>由乙方提供的设备、材料必须按有关规定提供质量合格证书和样品（如甲方明确表示不必要可不提供），由于材料的质量原因造成的工程质量不合格，由乙方负全部责任，并承担返工的费用；</w:t>
      </w:r>
    </w:p>
    <w:p>
      <w:pPr>
        <w:numPr>
          <w:ilvl w:val="0"/>
          <w:numId w:val="6"/>
        </w:numPr>
        <w:tabs>
          <w:tab w:val="left" w:pos="851"/>
          <w:tab w:val="clear" w:pos="1140"/>
        </w:tabs>
        <w:spacing w:line="500" w:lineRule="atLeast"/>
        <w:ind w:left="851" w:hanging="431"/>
        <w:rPr>
          <w:sz w:val="24"/>
        </w:rPr>
      </w:pPr>
      <w:r>
        <w:rPr>
          <w:rFonts w:hint="eastAsia"/>
          <w:sz w:val="24"/>
        </w:rPr>
        <w:t>承担工程保修责任。</w:t>
      </w:r>
    </w:p>
    <w:p>
      <w:pPr>
        <w:numPr>
          <w:ilvl w:val="0"/>
          <w:numId w:val="6"/>
        </w:numPr>
        <w:tabs>
          <w:tab w:val="left" w:pos="851"/>
          <w:tab w:val="clear" w:pos="1140"/>
        </w:tabs>
        <w:spacing w:line="500" w:lineRule="atLeast"/>
        <w:ind w:left="851" w:hanging="431"/>
        <w:rPr>
          <w:sz w:val="24"/>
          <w:szCs w:val="22"/>
        </w:rPr>
      </w:pPr>
      <w:r>
        <w:rPr>
          <w:rFonts w:hint="eastAsia"/>
          <w:sz w:val="24"/>
          <w:szCs w:val="22"/>
        </w:rPr>
        <w:t>开工前，乙方需编制施工方案、质量及安全保障体系方案、工程进度计划方案，明确人员、职责、制度、措施及要求；乙方须与甲方指定项目负责人提前沟通工程开工前相关准备事宜，得到许可（开工通知）后方可入场施工。</w:t>
      </w:r>
    </w:p>
    <w:p>
      <w:pPr>
        <w:numPr>
          <w:ilvl w:val="0"/>
          <w:numId w:val="6"/>
        </w:numPr>
        <w:tabs>
          <w:tab w:val="left" w:pos="851"/>
          <w:tab w:val="clear" w:pos="1140"/>
        </w:tabs>
        <w:spacing w:line="500" w:lineRule="atLeast"/>
        <w:ind w:left="851" w:hanging="431"/>
        <w:rPr>
          <w:sz w:val="24"/>
          <w:szCs w:val="22"/>
        </w:rPr>
      </w:pPr>
      <w:r>
        <w:rPr>
          <w:rFonts w:hint="eastAsia"/>
          <w:sz w:val="24"/>
          <w:szCs w:val="22"/>
        </w:rPr>
        <w:t>施工过程中，施工场地做好围蔽，材料堆放整洁有序，施工垃圾当天清理，保持施工现场的环境整洁卫生，减少施工对医院各科室的影响，完工后及时清场；落实安全生产及防火措施，禁止工地吸烟，配备防火器材，明火作业应严格执行动火审批手续；材料进场及工程变更须按照甲方要求提前办理报审手续，变更确认后及时办理签证手续。</w:t>
      </w:r>
    </w:p>
    <w:p>
      <w:pPr>
        <w:numPr>
          <w:ilvl w:val="0"/>
          <w:numId w:val="6"/>
        </w:numPr>
        <w:tabs>
          <w:tab w:val="left" w:pos="851"/>
          <w:tab w:val="clear" w:pos="1140"/>
        </w:tabs>
        <w:spacing w:line="500" w:lineRule="atLeast"/>
        <w:ind w:left="851" w:hanging="431"/>
        <w:rPr>
          <w:sz w:val="24"/>
          <w:szCs w:val="22"/>
        </w:rPr>
      </w:pPr>
      <w:r>
        <w:rPr>
          <w:rFonts w:hint="eastAsia"/>
          <w:sz w:val="24"/>
          <w:szCs w:val="22"/>
        </w:rPr>
        <w:t>工程完工后，乙方需要按照甲方质量及时间要求提交工程施工竣工验收文件及结算资料，配合甲方做好相关工程项目验收（环保、卫生、消防、规划等）及移交手续。</w:t>
      </w:r>
    </w:p>
    <w:p>
      <w:pPr>
        <w:numPr>
          <w:ilvl w:val="0"/>
          <w:numId w:val="6"/>
        </w:numPr>
        <w:tabs>
          <w:tab w:val="left" w:pos="851"/>
          <w:tab w:val="clear" w:pos="1140"/>
        </w:tabs>
        <w:spacing w:line="500" w:lineRule="atLeast"/>
        <w:ind w:left="851" w:hanging="431"/>
        <w:rPr>
          <w:sz w:val="24"/>
          <w:szCs w:val="22"/>
        </w:rPr>
      </w:pPr>
      <w:r>
        <w:rPr>
          <w:rFonts w:hint="eastAsia"/>
          <w:sz w:val="24"/>
          <w:szCs w:val="22"/>
        </w:rPr>
        <w:t>未经甲方同意，乙方不得将工程转分包。乙方未经同意进行转分包的，甲方有权解除本合同，已进行的工程量按80%结算，并要求乙方支付合同总价款30%的违约金。</w:t>
      </w:r>
    </w:p>
    <w:p>
      <w:pPr>
        <w:numPr>
          <w:ilvl w:val="0"/>
          <w:numId w:val="3"/>
        </w:numPr>
        <w:spacing w:line="500" w:lineRule="atLeast"/>
        <w:rPr>
          <w:b/>
          <w:sz w:val="24"/>
        </w:rPr>
      </w:pPr>
      <w:r>
        <w:rPr>
          <w:rFonts w:hint="eastAsia"/>
          <w:b/>
          <w:sz w:val="24"/>
        </w:rPr>
        <w:t>合同价款支付</w:t>
      </w:r>
      <w:r>
        <w:rPr>
          <w:rFonts w:hint="eastAsia"/>
          <w:sz w:val="24"/>
        </w:rPr>
        <w:t>；</w:t>
      </w:r>
    </w:p>
    <w:p>
      <w:pPr>
        <w:tabs>
          <w:tab w:val="left" w:pos="851"/>
        </w:tabs>
        <w:spacing w:line="500" w:lineRule="atLeast"/>
        <w:ind w:firstLine="480" w:firstLineChars="200"/>
        <w:rPr>
          <w:sz w:val="24"/>
          <w:szCs w:val="22"/>
        </w:rPr>
      </w:pPr>
      <w:r>
        <w:rPr>
          <w:rFonts w:hint="eastAsia"/>
          <w:sz w:val="24"/>
          <w:szCs w:val="22"/>
          <w:lang w:val="hr-HR"/>
        </w:rPr>
        <w:t>双方协商选择下列工程款支付方式：</w:t>
      </w:r>
      <w:r>
        <w:rPr>
          <w:rFonts w:hint="eastAsia"/>
          <w:sz w:val="24"/>
          <w:szCs w:val="22"/>
        </w:rPr>
        <w:t>方式</w:t>
      </w:r>
      <w:r>
        <w:rPr>
          <w:rFonts w:hint="eastAsia"/>
          <w:sz w:val="24"/>
          <w:szCs w:val="22"/>
          <w:u w:val="single"/>
          <w:lang w:val="en-US" w:eastAsia="zh-CN"/>
        </w:rPr>
        <w:t xml:space="preserve">   </w:t>
      </w:r>
      <w:r>
        <w:rPr>
          <w:rFonts w:hint="eastAsia"/>
          <w:sz w:val="24"/>
          <w:szCs w:val="22"/>
        </w:rPr>
        <w:t>。甲方每次支付前，乙方应提交请款函和合格的等额发票。</w:t>
      </w:r>
    </w:p>
    <w:p>
      <w:pPr>
        <w:spacing w:line="540" w:lineRule="exact"/>
        <w:ind w:left="359" w:leftChars="171"/>
        <w:rPr>
          <w:sz w:val="24"/>
        </w:rPr>
      </w:pPr>
      <w:r>
        <w:rPr>
          <w:rFonts w:hint="eastAsia"/>
          <w:sz w:val="24"/>
        </w:rPr>
        <w:t>方式一</w:t>
      </w:r>
    </w:p>
    <w:p>
      <w:pPr>
        <w:spacing w:line="540" w:lineRule="exact"/>
        <w:ind w:left="359" w:leftChars="171"/>
        <w:rPr>
          <w:sz w:val="24"/>
        </w:rPr>
      </w:pPr>
      <w:r>
        <w:rPr>
          <w:sz w:val="24"/>
        </w:rPr>
        <w:t>1</w:t>
      </w:r>
      <w:r>
        <w:rPr>
          <w:rFonts w:hint="eastAsia"/>
          <w:sz w:val="24"/>
        </w:rPr>
        <w:t>、</w:t>
      </w:r>
      <w:r>
        <w:rPr>
          <w:sz w:val="24"/>
        </w:rPr>
        <w:tab/>
      </w:r>
      <w:r>
        <w:rPr>
          <w:rFonts w:hint="eastAsia"/>
          <w:sz w:val="24"/>
        </w:rPr>
        <w:t>工程预付款：合同签订后60天内支付合同总价的</w:t>
      </w:r>
      <w:r>
        <w:rPr>
          <w:sz w:val="24"/>
        </w:rPr>
        <w:t>30%</w:t>
      </w:r>
      <w:r>
        <w:rPr>
          <w:rFonts w:hint="eastAsia"/>
          <w:sz w:val="24"/>
        </w:rPr>
        <w:t>；</w:t>
      </w:r>
    </w:p>
    <w:p>
      <w:pPr>
        <w:spacing w:line="540" w:lineRule="exact"/>
        <w:ind w:left="359" w:leftChars="171"/>
        <w:rPr>
          <w:sz w:val="24"/>
        </w:rPr>
      </w:pPr>
      <w:r>
        <w:rPr>
          <w:sz w:val="24"/>
        </w:rPr>
        <w:t>2</w:t>
      </w:r>
      <w:r>
        <w:rPr>
          <w:rFonts w:hint="eastAsia"/>
          <w:sz w:val="24"/>
        </w:rPr>
        <w:t>、本工程完成后，经甲方组织的相关人员验收合格后支付到合同总价的70%</w:t>
      </w:r>
      <w:r>
        <w:rPr>
          <w:sz w:val="24"/>
        </w:rPr>
        <w:tab/>
      </w:r>
    </w:p>
    <w:p>
      <w:pPr>
        <w:spacing w:line="540" w:lineRule="exact"/>
        <w:ind w:left="359" w:leftChars="171"/>
        <w:rPr>
          <w:sz w:val="24"/>
        </w:rPr>
      </w:pPr>
      <w:r>
        <w:rPr>
          <w:rFonts w:hint="eastAsia"/>
          <w:sz w:val="24"/>
        </w:rPr>
        <w:t>3、本工程完成后，经甲方组织的相关人员验收合格后支付到结算审核价的</w:t>
      </w:r>
      <w:r>
        <w:rPr>
          <w:sz w:val="24"/>
        </w:rPr>
        <w:t>9</w:t>
      </w:r>
      <w:r>
        <w:rPr>
          <w:rFonts w:hint="eastAsia"/>
          <w:sz w:val="24"/>
        </w:rPr>
        <w:t>7</w:t>
      </w:r>
      <w:r>
        <w:rPr>
          <w:sz w:val="24"/>
        </w:rPr>
        <w:t>%</w:t>
      </w:r>
      <w:r>
        <w:rPr>
          <w:rFonts w:hint="eastAsia"/>
          <w:sz w:val="24"/>
        </w:rPr>
        <w:t>，保修期结束后一次性付清余款。</w:t>
      </w:r>
    </w:p>
    <w:p>
      <w:pPr>
        <w:spacing w:line="540" w:lineRule="exact"/>
        <w:ind w:left="359" w:leftChars="171"/>
        <w:rPr>
          <w:sz w:val="24"/>
        </w:rPr>
      </w:pPr>
      <w:r>
        <w:rPr>
          <w:rFonts w:hint="eastAsia"/>
          <w:sz w:val="24"/>
        </w:rPr>
        <w:t>方式二：</w:t>
      </w:r>
    </w:p>
    <w:p>
      <w:pPr>
        <w:spacing w:line="540" w:lineRule="exact"/>
        <w:ind w:left="359" w:leftChars="171"/>
        <w:rPr>
          <w:sz w:val="24"/>
        </w:rPr>
      </w:pPr>
      <w:r>
        <w:rPr>
          <w:rFonts w:hint="eastAsia"/>
          <w:sz w:val="24"/>
        </w:rPr>
        <w:t>1、本工程完成后，经甲方组织的相关人员验收合格后支付到合同总价的70%</w:t>
      </w:r>
      <w:r>
        <w:rPr>
          <w:sz w:val="24"/>
        </w:rPr>
        <w:tab/>
      </w:r>
    </w:p>
    <w:p>
      <w:pPr>
        <w:spacing w:line="540" w:lineRule="exact"/>
        <w:ind w:left="359" w:leftChars="171"/>
        <w:rPr>
          <w:sz w:val="24"/>
        </w:rPr>
      </w:pPr>
      <w:r>
        <w:rPr>
          <w:rFonts w:hint="eastAsia"/>
          <w:sz w:val="24"/>
        </w:rPr>
        <w:t>2、办理工程结算后，支付到结算审核价的</w:t>
      </w:r>
      <w:r>
        <w:rPr>
          <w:sz w:val="24"/>
        </w:rPr>
        <w:t>9</w:t>
      </w:r>
      <w:r>
        <w:rPr>
          <w:rFonts w:hint="eastAsia"/>
          <w:sz w:val="24"/>
        </w:rPr>
        <w:t>7</w:t>
      </w:r>
      <w:r>
        <w:rPr>
          <w:sz w:val="24"/>
        </w:rPr>
        <w:t>%</w:t>
      </w:r>
      <w:r>
        <w:rPr>
          <w:rFonts w:hint="eastAsia"/>
          <w:sz w:val="24"/>
        </w:rPr>
        <w:t>，保修期结束后一次性付清余款。</w:t>
      </w:r>
    </w:p>
    <w:p>
      <w:pPr>
        <w:numPr>
          <w:ilvl w:val="0"/>
          <w:numId w:val="3"/>
        </w:numPr>
        <w:spacing w:line="500" w:lineRule="atLeast"/>
        <w:rPr>
          <w:b/>
          <w:sz w:val="24"/>
        </w:rPr>
      </w:pPr>
      <w:r>
        <w:rPr>
          <w:rFonts w:hint="eastAsia"/>
          <w:b/>
          <w:sz w:val="24"/>
        </w:rPr>
        <w:t>工程质量检查与验收</w:t>
      </w:r>
    </w:p>
    <w:p>
      <w:pPr>
        <w:spacing w:line="500" w:lineRule="atLeast"/>
        <w:ind w:left="1260" w:leftChars="200" w:hanging="840" w:hangingChars="350"/>
        <w:rPr>
          <w:color w:val="000000"/>
          <w:sz w:val="24"/>
        </w:rPr>
      </w:pPr>
      <w:r>
        <w:rPr>
          <w:rFonts w:hint="eastAsia"/>
          <w:color w:val="000000"/>
          <w:sz w:val="24"/>
        </w:rPr>
        <w:t>1、    乙方必须严格按施工图纸、说明文件和国家相关部门颁发的有关工程施工规范 及验收技术规范进行施工，接受甲方现场监理工程师和工程师代表的监督检查。</w:t>
      </w:r>
    </w:p>
    <w:p>
      <w:pPr>
        <w:numPr>
          <w:ilvl w:val="0"/>
          <w:numId w:val="7"/>
        </w:numPr>
        <w:spacing w:line="500" w:lineRule="atLeast"/>
        <w:rPr>
          <w:sz w:val="24"/>
        </w:rPr>
      </w:pPr>
      <w:r>
        <w:rPr>
          <w:rFonts w:hint="eastAsia"/>
          <w:sz w:val="24"/>
        </w:rPr>
        <w:t>工程调试完毕自检合格后，乙方按规定整理提供完整的技术档案资料移交甲方，并发出竣工通知书，由甲方组织相关人员进行竣工验收。</w:t>
      </w:r>
    </w:p>
    <w:p>
      <w:pPr>
        <w:numPr>
          <w:ilvl w:val="0"/>
          <w:numId w:val="7"/>
        </w:numPr>
        <w:spacing w:line="500" w:lineRule="atLeast"/>
        <w:rPr>
          <w:color w:val="000000"/>
          <w:sz w:val="24"/>
        </w:rPr>
      </w:pPr>
      <w:r>
        <w:rPr>
          <w:rFonts w:hint="eastAsia"/>
          <w:color w:val="000000"/>
          <w:sz w:val="24"/>
        </w:rPr>
        <w:t>工程验收：工程验收以</w:t>
      </w:r>
      <w:r>
        <w:rPr>
          <w:rFonts w:hint="eastAsia"/>
          <w:sz w:val="24"/>
        </w:rPr>
        <w:t>满足招标文件全部设计要求</w:t>
      </w:r>
      <w:r>
        <w:rPr>
          <w:rFonts w:hint="eastAsia"/>
          <w:color w:val="000000"/>
          <w:sz w:val="24"/>
        </w:rPr>
        <w:t>和国家有关部门制定的竣工验收规定为标准。</w:t>
      </w:r>
    </w:p>
    <w:p>
      <w:pPr>
        <w:numPr>
          <w:ilvl w:val="0"/>
          <w:numId w:val="7"/>
        </w:numPr>
        <w:spacing w:line="500" w:lineRule="atLeast"/>
        <w:rPr>
          <w:color w:val="000000"/>
          <w:sz w:val="24"/>
        </w:rPr>
      </w:pPr>
      <w:r>
        <w:rPr>
          <w:rFonts w:hint="eastAsia"/>
          <w:color w:val="000000"/>
          <w:sz w:val="24"/>
        </w:rPr>
        <w:t>工程验收中如发现有不符合质量要求，需要返工的工程，应分清责任。属施工原因造成的，按双方验收时商定的时间，由乙方负责返工好再进行检验。竣工日期以最后检验合格日期的日期为准。</w:t>
      </w:r>
    </w:p>
    <w:p>
      <w:pPr>
        <w:numPr>
          <w:ilvl w:val="0"/>
          <w:numId w:val="7"/>
        </w:numPr>
        <w:spacing w:line="500" w:lineRule="atLeast"/>
        <w:rPr>
          <w:color w:val="000000"/>
          <w:sz w:val="24"/>
        </w:rPr>
      </w:pPr>
      <w:r>
        <w:rPr>
          <w:rFonts w:hint="eastAsia"/>
          <w:color w:val="000000"/>
          <w:sz w:val="24"/>
        </w:rPr>
        <w:t>验收合格后，双方签署竣工验收报告证书，当日进入质量保证期。</w:t>
      </w:r>
    </w:p>
    <w:p>
      <w:pPr>
        <w:numPr>
          <w:ilvl w:val="0"/>
          <w:numId w:val="3"/>
        </w:numPr>
        <w:spacing w:line="500" w:lineRule="atLeast"/>
        <w:rPr>
          <w:b/>
          <w:sz w:val="24"/>
        </w:rPr>
      </w:pPr>
      <w:r>
        <w:rPr>
          <w:rFonts w:hint="eastAsia"/>
          <w:b/>
          <w:sz w:val="24"/>
        </w:rPr>
        <w:t>保证</w:t>
      </w:r>
    </w:p>
    <w:p>
      <w:pPr>
        <w:numPr>
          <w:ilvl w:val="0"/>
          <w:numId w:val="8"/>
        </w:numPr>
        <w:spacing w:line="500" w:lineRule="atLeast"/>
        <w:rPr>
          <w:color w:val="000000"/>
          <w:sz w:val="24"/>
        </w:rPr>
      </w:pPr>
      <w:r>
        <w:rPr>
          <w:rFonts w:hint="eastAsia"/>
          <w:color w:val="000000"/>
          <w:sz w:val="24"/>
        </w:rPr>
        <w:t>乙方应按采购文件规定的货物性能、技术要求、质量标准向甲方提供未经使用的全新产品；</w:t>
      </w:r>
    </w:p>
    <w:p>
      <w:pPr>
        <w:numPr>
          <w:ilvl w:val="0"/>
          <w:numId w:val="8"/>
        </w:numPr>
        <w:spacing w:line="500" w:lineRule="atLeast"/>
        <w:rPr>
          <w:color w:val="000000"/>
          <w:sz w:val="24"/>
        </w:rPr>
      </w:pPr>
      <w:r>
        <w:rPr>
          <w:rFonts w:hint="eastAsia"/>
          <w:color w:val="000000"/>
          <w:sz w:val="24"/>
        </w:rPr>
        <w:t>如在使用过程中发生质量问题，乙方在接到甲方通知后在24小时内到达甲方现场，负责维修直至修复；</w:t>
      </w:r>
    </w:p>
    <w:p>
      <w:pPr>
        <w:numPr>
          <w:ilvl w:val="0"/>
          <w:numId w:val="8"/>
        </w:numPr>
        <w:spacing w:line="500" w:lineRule="atLeast"/>
        <w:rPr>
          <w:color w:val="000000"/>
          <w:sz w:val="24"/>
        </w:rPr>
      </w:pPr>
      <w:r>
        <w:rPr>
          <w:rFonts w:hint="eastAsia"/>
          <w:color w:val="000000"/>
          <w:sz w:val="24"/>
        </w:rPr>
        <w:t>在质保期内，乙方应对货物出现的质量及安全问题负责处理解决并承担一切费用；</w:t>
      </w:r>
    </w:p>
    <w:p>
      <w:pPr>
        <w:numPr>
          <w:ilvl w:val="0"/>
          <w:numId w:val="8"/>
        </w:numPr>
        <w:spacing w:line="500" w:lineRule="atLeast"/>
        <w:rPr>
          <w:sz w:val="24"/>
        </w:rPr>
      </w:pPr>
      <w:r>
        <w:rPr>
          <w:rFonts w:hint="eastAsia"/>
          <w:sz w:val="24"/>
        </w:rPr>
        <w:t>合同清单中的货物及工程质保期为</w:t>
      </w:r>
      <w:r>
        <w:rPr>
          <w:rFonts w:hint="eastAsia"/>
          <w:sz w:val="24"/>
          <w:u w:val="single"/>
        </w:rPr>
        <w:t xml:space="preserve"> </w:t>
      </w:r>
      <w:r>
        <w:rPr>
          <w:rFonts w:hint="eastAsia"/>
          <w:sz w:val="24"/>
          <w:u w:val="single"/>
          <w:lang w:eastAsia="zh-CN"/>
        </w:rPr>
        <w:t>三</w:t>
      </w:r>
      <w:r>
        <w:rPr>
          <w:rFonts w:hint="eastAsia"/>
          <w:sz w:val="24"/>
          <w:u w:val="single"/>
        </w:rPr>
        <w:t xml:space="preserve"> </w:t>
      </w:r>
      <w:r>
        <w:rPr>
          <w:rFonts w:hint="eastAsia"/>
          <w:sz w:val="24"/>
        </w:rPr>
        <w:t>年，工程自</w:t>
      </w:r>
      <w:r>
        <w:rPr>
          <w:rFonts w:hint="eastAsia"/>
          <w:color w:val="auto"/>
          <w:sz w:val="24"/>
        </w:rPr>
        <w:t>验收之日起</w:t>
      </w:r>
      <w:r>
        <w:rPr>
          <w:rFonts w:hint="eastAsia"/>
          <w:color w:val="auto"/>
          <w:sz w:val="24"/>
          <w:u w:val="single"/>
        </w:rPr>
        <w:t xml:space="preserve"> </w:t>
      </w:r>
      <w:r>
        <w:rPr>
          <w:rFonts w:hint="eastAsia"/>
          <w:color w:val="auto"/>
          <w:sz w:val="24"/>
          <w:u w:val="single"/>
          <w:lang w:eastAsia="zh-CN"/>
        </w:rPr>
        <w:t>三</w:t>
      </w:r>
      <w:r>
        <w:rPr>
          <w:rFonts w:hint="eastAsia"/>
          <w:color w:val="auto"/>
          <w:sz w:val="24"/>
          <w:u w:val="single"/>
          <w:lang w:val="en-US" w:eastAsia="zh-CN"/>
        </w:rPr>
        <w:t xml:space="preserve"> </w:t>
      </w:r>
      <w:r>
        <w:rPr>
          <w:rFonts w:hint="eastAsia"/>
          <w:color w:val="auto"/>
          <w:sz w:val="24"/>
        </w:rPr>
        <w:t>年</w:t>
      </w:r>
      <w:r>
        <w:rPr>
          <w:rFonts w:hint="eastAsia"/>
          <w:sz w:val="24"/>
        </w:rPr>
        <w:t>内全免费保修，人为因素导致的故障不在免费保修范围内。</w:t>
      </w:r>
    </w:p>
    <w:p>
      <w:pPr>
        <w:numPr>
          <w:ilvl w:val="0"/>
          <w:numId w:val="3"/>
        </w:numPr>
        <w:spacing w:line="500" w:lineRule="atLeast"/>
        <w:rPr>
          <w:b/>
          <w:sz w:val="24"/>
        </w:rPr>
      </w:pPr>
      <w:r>
        <w:rPr>
          <w:rFonts w:hint="eastAsia"/>
          <w:b/>
          <w:sz w:val="24"/>
        </w:rPr>
        <w:t>违约责任</w:t>
      </w:r>
    </w:p>
    <w:p>
      <w:pPr>
        <w:numPr>
          <w:ilvl w:val="0"/>
          <w:numId w:val="9"/>
        </w:numPr>
        <w:spacing w:line="500" w:lineRule="atLeast"/>
        <w:rPr>
          <w:color w:val="000000"/>
          <w:sz w:val="24"/>
        </w:rPr>
      </w:pPr>
      <w:r>
        <w:rPr>
          <w:rFonts w:hint="eastAsia"/>
          <w:color w:val="000000"/>
          <w:sz w:val="24"/>
        </w:rPr>
        <w:t>当乙方提供的产品出现质量或缺陷时，乙方一个月内无条件换货，若乙方逾期不进行换货或换货后仍存在质量问题的，甲方有权解除合同，已进行的工程量按80%进行结算；</w:t>
      </w:r>
    </w:p>
    <w:p>
      <w:pPr>
        <w:numPr>
          <w:ilvl w:val="0"/>
          <w:numId w:val="9"/>
        </w:numPr>
        <w:spacing w:line="500" w:lineRule="atLeast"/>
        <w:rPr>
          <w:color w:val="000000"/>
          <w:sz w:val="24"/>
        </w:rPr>
      </w:pPr>
      <w:r>
        <w:rPr>
          <w:rFonts w:hint="eastAsia"/>
          <w:color w:val="000000"/>
          <w:sz w:val="24"/>
        </w:rPr>
        <w:t>甲方无正当理由拒收货物、拒付货物款的，甲方向乙方偿付货物总值的30%违约金；</w:t>
      </w:r>
    </w:p>
    <w:p>
      <w:pPr>
        <w:numPr>
          <w:ilvl w:val="0"/>
          <w:numId w:val="9"/>
        </w:numPr>
        <w:spacing w:line="500" w:lineRule="atLeast"/>
        <w:rPr>
          <w:color w:val="000000"/>
          <w:sz w:val="24"/>
        </w:rPr>
      </w:pPr>
      <w:r>
        <w:rPr>
          <w:rFonts w:hint="eastAsia"/>
          <w:color w:val="000000"/>
          <w:sz w:val="24"/>
        </w:rPr>
        <w:t>因货物的质量问题发生争议，由国家和市政府指定的技术单位进行质量鉴定，该鉴定结论是终局的，甲、乙双方应当接受。</w:t>
      </w:r>
    </w:p>
    <w:p>
      <w:pPr>
        <w:numPr>
          <w:ilvl w:val="0"/>
          <w:numId w:val="9"/>
        </w:numPr>
        <w:spacing w:line="500" w:lineRule="atLeast"/>
        <w:rPr>
          <w:color w:val="000000"/>
          <w:sz w:val="24"/>
        </w:rPr>
      </w:pPr>
      <w:r>
        <w:rPr>
          <w:rFonts w:hint="eastAsia"/>
          <w:color w:val="000000"/>
          <w:sz w:val="24"/>
        </w:rPr>
        <w:t>乙方因自身原因逾期竣工的，每逾期一日，甲方有权收取合同总价款千分之一的违约金。逾期超过30日的，甲方除收取违约金外，有权解除合同，已进行的工程量按80%进行结算。</w:t>
      </w:r>
    </w:p>
    <w:p>
      <w:pPr>
        <w:numPr>
          <w:ilvl w:val="0"/>
          <w:numId w:val="3"/>
        </w:numPr>
        <w:spacing w:line="500" w:lineRule="atLeast"/>
        <w:rPr>
          <w:b/>
          <w:sz w:val="24"/>
        </w:rPr>
      </w:pPr>
      <w:r>
        <w:rPr>
          <w:rFonts w:hint="eastAsia"/>
          <w:b/>
          <w:sz w:val="24"/>
        </w:rPr>
        <w:t>争议解决</w:t>
      </w:r>
    </w:p>
    <w:p>
      <w:pPr>
        <w:spacing w:line="500" w:lineRule="atLeast"/>
        <w:ind w:left="346" w:leftChars="133" w:hanging="67" w:hangingChars="28"/>
        <w:rPr>
          <w:sz w:val="24"/>
        </w:rPr>
      </w:pPr>
      <w:r>
        <w:rPr>
          <w:rFonts w:hint="eastAsia"/>
          <w:sz w:val="24"/>
        </w:rPr>
        <w:t xml:space="preserve">     因本合同发生的争议，甲乙双方可协商解决；协商不成，可向工程所在地法院提起诉讼，对双方当事人均有约束力。</w:t>
      </w:r>
    </w:p>
    <w:p>
      <w:pPr>
        <w:numPr>
          <w:ilvl w:val="0"/>
          <w:numId w:val="3"/>
        </w:numPr>
        <w:spacing w:line="500" w:lineRule="atLeast"/>
        <w:rPr>
          <w:b/>
          <w:sz w:val="24"/>
        </w:rPr>
      </w:pPr>
      <w:r>
        <w:rPr>
          <w:rFonts w:hint="eastAsia"/>
          <w:b/>
          <w:sz w:val="24"/>
        </w:rPr>
        <w:t>其它</w:t>
      </w:r>
    </w:p>
    <w:p>
      <w:pPr>
        <w:numPr>
          <w:ilvl w:val="0"/>
          <w:numId w:val="10"/>
        </w:numPr>
        <w:spacing w:line="500" w:lineRule="atLeast"/>
        <w:rPr>
          <w:color w:val="000000"/>
          <w:sz w:val="24"/>
        </w:rPr>
      </w:pPr>
      <w:r>
        <w:rPr>
          <w:rFonts w:hint="eastAsia"/>
          <w:color w:val="000000"/>
          <w:sz w:val="24"/>
        </w:rPr>
        <w:t>乙方在施工期间的安全责任由乙方自行负责，并遵守甲方的文明施工和作息时间。</w:t>
      </w:r>
    </w:p>
    <w:p>
      <w:pPr>
        <w:numPr>
          <w:ilvl w:val="0"/>
          <w:numId w:val="10"/>
        </w:numPr>
        <w:spacing w:line="500" w:lineRule="atLeast"/>
        <w:rPr>
          <w:color w:val="000000"/>
          <w:sz w:val="24"/>
        </w:rPr>
      </w:pPr>
      <w:r>
        <w:rPr>
          <w:rFonts w:hint="eastAsia"/>
          <w:color w:val="000000"/>
          <w:sz w:val="24"/>
        </w:rPr>
        <w:t>本合同未尽事宜，由双方协商解决。</w:t>
      </w:r>
    </w:p>
    <w:p>
      <w:pPr>
        <w:numPr>
          <w:ilvl w:val="0"/>
          <w:numId w:val="10"/>
        </w:numPr>
        <w:spacing w:line="500" w:lineRule="atLeast"/>
        <w:rPr>
          <w:color w:val="000000"/>
          <w:sz w:val="24"/>
        </w:rPr>
      </w:pPr>
      <w:r>
        <w:rPr>
          <w:rFonts w:hint="eastAsia"/>
          <w:color w:val="000000"/>
          <w:sz w:val="24"/>
        </w:rPr>
        <w:t>本工程第三方检测验收第一次费用由业主支付，如第一次检测不合格余下的检测费用由乙方支付，直至检测合格。</w:t>
      </w:r>
    </w:p>
    <w:p>
      <w:pPr>
        <w:numPr>
          <w:ilvl w:val="0"/>
          <w:numId w:val="10"/>
        </w:numPr>
        <w:spacing w:line="500" w:lineRule="atLeast"/>
        <w:rPr>
          <w:color w:val="000000"/>
          <w:sz w:val="24"/>
        </w:rPr>
      </w:pPr>
      <w:r>
        <w:rPr>
          <w:rFonts w:hint="eastAsia"/>
          <w:color w:val="000000"/>
          <w:sz w:val="24"/>
        </w:rPr>
        <w:t>本合同由下列文件组成：</w:t>
      </w:r>
    </w:p>
    <w:p>
      <w:pPr>
        <w:spacing w:line="500" w:lineRule="atLeast"/>
        <w:ind w:left="1140"/>
        <w:rPr>
          <w:rFonts w:ascii="宋体" w:hAnsi="宋体"/>
          <w:sz w:val="24"/>
        </w:rPr>
      </w:pPr>
      <w:r>
        <w:rPr>
          <w:rFonts w:hint="eastAsia" w:ascii="宋体" w:hAnsi="宋体"/>
          <w:sz w:val="24"/>
        </w:rPr>
        <w:t>（1） 合同书；</w:t>
      </w:r>
    </w:p>
    <w:p>
      <w:pPr>
        <w:spacing w:line="500" w:lineRule="atLeast"/>
        <w:ind w:left="1272" w:leftChars="133" w:hanging="993" w:hangingChars="414"/>
        <w:rPr>
          <w:sz w:val="24"/>
        </w:rPr>
      </w:pPr>
      <w:r>
        <w:rPr>
          <w:rFonts w:hint="eastAsia" w:ascii="宋体" w:hAnsi="宋体"/>
          <w:sz w:val="24"/>
        </w:rPr>
        <w:t xml:space="preserve">（2） </w:t>
      </w:r>
      <w:r>
        <w:rPr>
          <w:rFonts w:hint="eastAsia"/>
          <w:sz w:val="24"/>
        </w:rPr>
        <w:t>附件：（工程设备清单及报价）；</w:t>
      </w:r>
    </w:p>
    <w:p>
      <w:pPr>
        <w:spacing w:line="500" w:lineRule="atLeast"/>
        <w:ind w:firstLine="1080" w:firstLineChars="450"/>
        <w:rPr>
          <w:rFonts w:ascii="宋体" w:hAnsi="宋体"/>
          <w:sz w:val="24"/>
        </w:rPr>
      </w:pPr>
      <w:r>
        <w:rPr>
          <w:rFonts w:hint="eastAsia" w:ascii="宋体" w:hAnsi="宋体"/>
          <w:sz w:val="24"/>
        </w:rPr>
        <w:t>（3） 其它双方签订的与之相关的文件；</w:t>
      </w:r>
    </w:p>
    <w:p>
      <w:pPr>
        <w:spacing w:line="500" w:lineRule="atLeast"/>
        <w:ind w:firstLine="1080" w:firstLineChars="450"/>
        <w:rPr>
          <w:sz w:val="24"/>
        </w:rPr>
      </w:pPr>
      <w:r>
        <w:rPr>
          <w:rFonts w:hint="eastAsia" w:ascii="宋体" w:hAnsi="宋体"/>
          <w:sz w:val="24"/>
        </w:rPr>
        <w:t>（4）  一次线路图。</w:t>
      </w:r>
    </w:p>
    <w:p>
      <w:pPr>
        <w:spacing w:line="500" w:lineRule="atLeast"/>
        <w:ind w:left="759" w:leftChars="133" w:hanging="480" w:hangingChars="200"/>
        <w:rPr>
          <w:sz w:val="24"/>
        </w:rPr>
      </w:pPr>
      <w:r>
        <w:rPr>
          <w:rFonts w:hint="eastAsia"/>
          <w:sz w:val="24"/>
        </w:rPr>
        <w:t xml:space="preserve">    上述所有文件具有同等法律效力，如有相互矛盾，则按上述顺序解释。</w:t>
      </w:r>
    </w:p>
    <w:p>
      <w:pPr>
        <w:numPr>
          <w:ilvl w:val="0"/>
          <w:numId w:val="10"/>
        </w:numPr>
        <w:spacing w:line="500" w:lineRule="atLeast"/>
        <w:rPr>
          <w:color w:val="000000"/>
          <w:sz w:val="24"/>
        </w:rPr>
      </w:pPr>
      <w:r>
        <w:rPr>
          <w:rFonts w:hint="eastAsia"/>
          <w:color w:val="000000"/>
          <w:sz w:val="24"/>
        </w:rPr>
        <w:t>本合同自双方授权代表签字并加盖公章后生效。</w:t>
      </w:r>
    </w:p>
    <w:p>
      <w:pPr>
        <w:numPr>
          <w:ilvl w:val="0"/>
          <w:numId w:val="10"/>
        </w:numPr>
        <w:spacing w:line="500" w:lineRule="atLeast"/>
        <w:rPr>
          <w:color w:val="000000"/>
          <w:sz w:val="24"/>
        </w:rPr>
      </w:pPr>
      <w:r>
        <w:rPr>
          <w:rFonts w:hint="eastAsia"/>
          <w:color w:val="000000"/>
          <w:sz w:val="24"/>
        </w:rPr>
        <w:t>本合同一式肆份，甲方执贰份，乙方执贰份，每份具有同等效力。</w:t>
      </w:r>
    </w:p>
    <w:p>
      <w:pPr>
        <w:spacing w:line="360" w:lineRule="auto"/>
        <w:rPr>
          <w:sz w:val="24"/>
        </w:rPr>
      </w:pPr>
    </w:p>
    <w:p>
      <w:pPr>
        <w:spacing w:line="360" w:lineRule="auto"/>
        <w:rPr>
          <w:sz w:val="24"/>
        </w:rPr>
      </w:pPr>
      <w:r>
        <w:rPr>
          <w:rFonts w:hint="eastAsia"/>
          <w:sz w:val="24"/>
        </w:rPr>
        <w:t>甲方：</w:t>
      </w:r>
      <w:r>
        <w:rPr>
          <w:rFonts w:hint="eastAsia"/>
          <w:color w:val="000000"/>
          <w:sz w:val="24"/>
        </w:rPr>
        <w:t>广东省人民医院</w:t>
      </w:r>
      <w:r>
        <w:rPr>
          <w:rFonts w:hint="eastAsia"/>
          <w:sz w:val="24"/>
        </w:rPr>
        <w:t>（章）</w:t>
      </w:r>
    </w:p>
    <w:p>
      <w:pPr>
        <w:spacing w:line="360" w:lineRule="auto"/>
        <w:rPr>
          <w:sz w:val="24"/>
        </w:rPr>
      </w:pPr>
      <w:r>
        <w:rPr>
          <w:rFonts w:hint="eastAsia"/>
          <w:sz w:val="24"/>
        </w:rPr>
        <w:t>法人代表：</w:t>
      </w:r>
    </w:p>
    <w:p>
      <w:pPr>
        <w:spacing w:line="360" w:lineRule="auto"/>
        <w:rPr>
          <w:sz w:val="24"/>
        </w:rPr>
      </w:pPr>
      <w:r>
        <w:rPr>
          <w:rFonts w:hint="eastAsia"/>
          <w:sz w:val="24"/>
        </w:rPr>
        <w:t>委托代理人：</w:t>
      </w:r>
    </w:p>
    <w:p>
      <w:pPr>
        <w:spacing w:line="360" w:lineRule="auto"/>
        <w:rPr>
          <w:sz w:val="24"/>
        </w:rPr>
      </w:pPr>
      <w:r>
        <w:rPr>
          <w:rFonts w:hint="eastAsia"/>
          <w:sz w:val="24"/>
        </w:rPr>
        <w:t>联系电话：</w:t>
      </w:r>
    </w:p>
    <w:p>
      <w:pPr>
        <w:spacing w:line="360" w:lineRule="auto"/>
        <w:rPr>
          <w:sz w:val="24"/>
        </w:rPr>
      </w:pPr>
      <w:r>
        <w:rPr>
          <w:rFonts w:hint="eastAsia"/>
          <w:sz w:val="24"/>
        </w:rPr>
        <w:t xml:space="preserve">传    真： </w:t>
      </w:r>
    </w:p>
    <w:p>
      <w:pPr>
        <w:spacing w:line="360" w:lineRule="auto"/>
        <w:rPr>
          <w:sz w:val="24"/>
        </w:rPr>
      </w:pPr>
    </w:p>
    <w:p>
      <w:pPr>
        <w:spacing w:line="360" w:lineRule="auto"/>
        <w:rPr>
          <w:b/>
          <w:sz w:val="24"/>
        </w:rPr>
      </w:pPr>
      <w:r>
        <w:rPr>
          <w:rFonts w:hint="eastAsia"/>
          <w:sz w:val="24"/>
        </w:rPr>
        <w:t xml:space="preserve">乙方：（章） </w:t>
      </w:r>
    </w:p>
    <w:p>
      <w:pPr>
        <w:spacing w:line="360" w:lineRule="auto"/>
        <w:rPr>
          <w:sz w:val="24"/>
        </w:rPr>
      </w:pPr>
      <w:r>
        <w:rPr>
          <w:rFonts w:hint="eastAsia"/>
          <w:sz w:val="24"/>
        </w:rPr>
        <w:t>法人代表：</w:t>
      </w:r>
    </w:p>
    <w:p>
      <w:pPr>
        <w:spacing w:line="360" w:lineRule="auto"/>
        <w:rPr>
          <w:sz w:val="24"/>
        </w:rPr>
      </w:pPr>
      <w:r>
        <w:rPr>
          <w:rFonts w:hint="eastAsia"/>
          <w:sz w:val="24"/>
        </w:rPr>
        <w:t>委托代理人：</w:t>
      </w:r>
    </w:p>
    <w:p>
      <w:pPr>
        <w:spacing w:line="360" w:lineRule="auto"/>
        <w:rPr>
          <w:sz w:val="24"/>
        </w:rPr>
      </w:pPr>
      <w:r>
        <w:rPr>
          <w:rFonts w:hint="eastAsia"/>
          <w:sz w:val="24"/>
        </w:rPr>
        <w:t>联系电话：</w:t>
      </w:r>
    </w:p>
    <w:p>
      <w:pPr>
        <w:spacing w:line="360" w:lineRule="auto"/>
        <w:rPr>
          <w:sz w:val="24"/>
        </w:rPr>
      </w:pPr>
      <w:r>
        <w:rPr>
          <w:rFonts w:hint="eastAsia"/>
          <w:sz w:val="24"/>
        </w:rPr>
        <w:t>传    真：</w:t>
      </w:r>
    </w:p>
    <w:p>
      <w:pPr>
        <w:spacing w:line="360" w:lineRule="auto"/>
        <w:rPr>
          <w:sz w:val="24"/>
        </w:rPr>
      </w:pPr>
    </w:p>
    <w:p>
      <w:pPr>
        <w:spacing w:line="360" w:lineRule="auto"/>
        <w:rPr>
          <w:sz w:val="24"/>
        </w:rPr>
      </w:pPr>
      <w:r>
        <w:rPr>
          <w:rFonts w:hint="eastAsia"/>
          <w:sz w:val="24"/>
        </w:rPr>
        <w:t>合同签订时间：          年      月     日</w:t>
      </w:r>
    </w:p>
    <w:p>
      <w:pPr>
        <w:spacing w:line="360" w:lineRule="auto"/>
        <w:rPr>
          <w:b/>
          <w:sz w:val="24"/>
        </w:rPr>
      </w:pPr>
    </w:p>
    <w:p>
      <w:pPr>
        <w:spacing w:line="360" w:lineRule="auto"/>
        <w:rPr>
          <w:b/>
          <w:sz w:val="24"/>
        </w:rPr>
      </w:pPr>
      <w:r>
        <w:rPr>
          <w:rFonts w:hint="eastAsia"/>
          <w:b/>
          <w:sz w:val="24"/>
        </w:rPr>
        <w:t>附件：工程量清单</w:t>
      </w:r>
    </w:p>
    <w:p>
      <w:pPr>
        <w:pageBreakBefore w:val="0"/>
        <w:numPr>
          <w:ilvl w:val="0"/>
          <w:numId w:val="0"/>
        </w:numPr>
        <w:kinsoku/>
        <w:wordWrap/>
        <w:topLinePunct w:val="0"/>
        <w:bidi w:val="0"/>
        <w:adjustRightInd w:val="0"/>
        <w:snapToGrid w:val="0"/>
        <w:spacing w:line="240" w:lineRule="auto"/>
        <w:rPr>
          <w:rFonts w:hint="eastAsia" w:ascii="仿宋" w:hAnsi="仿宋" w:eastAsia="仿宋" w:cs="仿宋"/>
          <w:sz w:val="28"/>
          <w:szCs w:val="28"/>
          <w:lang w:eastAsia="zh-CN"/>
        </w:rPr>
      </w:pPr>
    </w:p>
    <w:sectPr>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文鼎CS楷体">
    <w:altName w:val="宋体"/>
    <w:panose1 w:val="00000000000000000000"/>
    <w:charset w:val="86"/>
    <w:family w:val="modern"/>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41BB60"/>
    <w:multiLevelType w:val="singleLevel"/>
    <w:tmpl w:val="FB41BB60"/>
    <w:lvl w:ilvl="0" w:tentative="0">
      <w:start w:val="1"/>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0"/>
    <w:multiLevelType w:val="multilevel"/>
    <w:tmpl w:val="00000010"/>
    <w:lvl w:ilvl="0" w:tentative="0">
      <w:start w:val="5"/>
      <w:numFmt w:val="japaneseCounting"/>
      <w:lvlText w:val="第%1条"/>
      <w:lvlJc w:val="left"/>
      <w:pPr>
        <w:tabs>
          <w:tab w:val="left" w:pos="1200"/>
        </w:tabs>
        <w:ind w:left="1200" w:hanging="1200"/>
      </w:pPr>
      <w:rPr>
        <w:rFonts w:hint="eastAsia"/>
      </w:rPr>
    </w:lvl>
    <w:lvl w:ilvl="1" w:tentative="0">
      <w:start w:val="1"/>
      <w:numFmt w:val="decimal"/>
      <w:lvlText w:val="%2、"/>
      <w:lvlJc w:val="left"/>
      <w:pPr>
        <w:tabs>
          <w:tab w:val="left" w:pos="1140"/>
        </w:tabs>
        <w:ind w:left="1140" w:hanging="720"/>
      </w:pPr>
      <w:rPr>
        <w:rFonts w:hint="eastAsia"/>
      </w:rPr>
    </w:lvl>
    <w:lvl w:ilvl="2" w:tentative="0">
      <w:start w:val="2"/>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1"/>
    <w:multiLevelType w:val="multilevel"/>
    <w:tmpl w:val="00000011"/>
    <w:lvl w:ilvl="0" w:tentative="0">
      <w:start w:val="1"/>
      <w:numFmt w:val="japaneseCounting"/>
      <w:lvlText w:val="第%1条"/>
      <w:lvlJc w:val="left"/>
      <w:pPr>
        <w:tabs>
          <w:tab w:val="left" w:pos="1200"/>
        </w:tabs>
        <w:ind w:left="1200" w:hanging="120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5"/>
    <w:multiLevelType w:val="multilevel"/>
    <w:tmpl w:val="0000001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6"/>
    <w:multiLevelType w:val="multilevel"/>
    <w:tmpl w:val="00000016"/>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0"/>
    <w:multiLevelType w:val="multilevel"/>
    <w:tmpl w:val="00000020"/>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03F9293"/>
    <w:multiLevelType w:val="singleLevel"/>
    <w:tmpl w:val="603F9293"/>
    <w:lvl w:ilvl="0" w:tentative="0">
      <w:start w:val="1"/>
      <w:numFmt w:val="decimal"/>
      <w:suff w:val="nothing"/>
      <w:lvlText w:val="%1．"/>
      <w:lvlJc w:val="left"/>
      <w:pPr>
        <w:ind w:left="0" w:firstLine="400"/>
      </w:pPr>
      <w:rPr>
        <w:rFonts w:hint="default"/>
      </w:rPr>
    </w:lvl>
  </w:abstractNum>
  <w:num w:numId="1">
    <w:abstractNumId w:val="0"/>
  </w:num>
  <w:num w:numId="2">
    <w:abstractNumId w:val="9"/>
  </w:num>
  <w:num w:numId="3">
    <w:abstractNumId w:val="5"/>
  </w:num>
  <w:num w:numId="4">
    <w:abstractNumId w:val="4"/>
  </w:num>
  <w:num w:numId="5">
    <w:abstractNumId w:val="2"/>
  </w:num>
  <w:num w:numId="6">
    <w:abstractNumId w:val="7"/>
  </w:num>
  <w:num w:numId="7">
    <w:abstractNumId w:val="6"/>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C3"/>
    <w:rsid w:val="000902D9"/>
    <w:rsid w:val="001007C5"/>
    <w:rsid w:val="0015789C"/>
    <w:rsid w:val="00210929"/>
    <w:rsid w:val="00285156"/>
    <w:rsid w:val="002F0807"/>
    <w:rsid w:val="0042479A"/>
    <w:rsid w:val="004F265D"/>
    <w:rsid w:val="00511D66"/>
    <w:rsid w:val="005315AB"/>
    <w:rsid w:val="00532F99"/>
    <w:rsid w:val="00594CC3"/>
    <w:rsid w:val="00686E83"/>
    <w:rsid w:val="006B167A"/>
    <w:rsid w:val="008760E0"/>
    <w:rsid w:val="0097766C"/>
    <w:rsid w:val="009F3953"/>
    <w:rsid w:val="00A02730"/>
    <w:rsid w:val="00B60FF9"/>
    <w:rsid w:val="00BD349D"/>
    <w:rsid w:val="00C0606F"/>
    <w:rsid w:val="00C735EF"/>
    <w:rsid w:val="00C74978"/>
    <w:rsid w:val="00C9469B"/>
    <w:rsid w:val="00CE3820"/>
    <w:rsid w:val="00D60A8F"/>
    <w:rsid w:val="00D97067"/>
    <w:rsid w:val="00DE05BF"/>
    <w:rsid w:val="00F17CCC"/>
    <w:rsid w:val="00F97D43"/>
    <w:rsid w:val="01081F47"/>
    <w:rsid w:val="02726C19"/>
    <w:rsid w:val="07410F25"/>
    <w:rsid w:val="0DA94D88"/>
    <w:rsid w:val="102F00F6"/>
    <w:rsid w:val="11833BFA"/>
    <w:rsid w:val="1F5B5511"/>
    <w:rsid w:val="208E2486"/>
    <w:rsid w:val="24C43903"/>
    <w:rsid w:val="2774024A"/>
    <w:rsid w:val="293B48A9"/>
    <w:rsid w:val="30AC3A08"/>
    <w:rsid w:val="396C4FD7"/>
    <w:rsid w:val="3A8443D2"/>
    <w:rsid w:val="430C6F47"/>
    <w:rsid w:val="44710237"/>
    <w:rsid w:val="497C7356"/>
    <w:rsid w:val="49D00052"/>
    <w:rsid w:val="4C8A36CB"/>
    <w:rsid w:val="4D2477AF"/>
    <w:rsid w:val="550851E3"/>
    <w:rsid w:val="60A204E3"/>
    <w:rsid w:val="668C08CC"/>
    <w:rsid w:val="694D3B13"/>
    <w:rsid w:val="6C654268"/>
    <w:rsid w:val="6C8D083E"/>
    <w:rsid w:val="6F9B1CA6"/>
    <w:rsid w:val="71F73508"/>
    <w:rsid w:val="748B119F"/>
    <w:rsid w:val="76C02BEC"/>
    <w:rsid w:val="78196AB2"/>
    <w:rsid w:val="799E4E0B"/>
    <w:rsid w:val="7A0B3DFB"/>
    <w:rsid w:val="7F1C5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100" w:after="90" w:line="578" w:lineRule="auto"/>
      <w:outlineLvl w:val="0"/>
    </w:pPr>
    <w:rPr>
      <w:rFonts w:eastAsia="宋体" w:asciiTheme="minorAscii" w:hAnsiTheme="minorAscii"/>
      <w:b/>
      <w:bCs/>
      <w:kern w:val="44"/>
      <w:sz w:val="24"/>
      <w:szCs w:val="44"/>
    </w:rPr>
  </w:style>
  <w:style w:type="paragraph" w:styleId="3">
    <w:name w:val="heading 2"/>
    <w:basedOn w:val="1"/>
    <w:next w:val="1"/>
    <w:link w:val="16"/>
    <w:unhideWhenUsed/>
    <w:qFormat/>
    <w:uiPriority w:val="9"/>
    <w:pPr>
      <w:keepNext/>
      <w:keepLines/>
      <w:spacing w:before="260" w:after="260" w:line="416" w:lineRule="auto"/>
      <w:jc w:val="left"/>
      <w:outlineLvl w:val="1"/>
    </w:pPr>
    <w:rPr>
      <w:rFonts w:eastAsia="宋体" w:asciiTheme="majorAscii" w:hAnsiTheme="majorAscii" w:cstheme="majorBidi"/>
      <w:b/>
      <w:bCs/>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8"/>
    <w:unhideWhenUsed/>
    <w:qFormat/>
    <w:uiPriority w:val="9"/>
    <w:pPr>
      <w:keepNext/>
      <w:keepLines/>
      <w:spacing w:before="280" w:after="290" w:line="376" w:lineRule="auto"/>
      <w:outlineLvl w:val="3"/>
    </w:pPr>
    <w:rPr>
      <w:rFonts w:eastAsia="宋体" w:asciiTheme="majorHAnsi" w:hAnsiTheme="majorHAnsi" w:cstheme="majorBidi"/>
      <w:b/>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semiHidden/>
    <w:unhideWhenUsed/>
    <w:qFormat/>
    <w:uiPriority w:val="99"/>
    <w:pPr>
      <w:ind w:left="420" w:leftChars="200"/>
    </w:p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styleId="14">
    <w:name w:val="List Paragraph"/>
    <w:basedOn w:val="1"/>
    <w:qFormat/>
    <w:uiPriority w:val="34"/>
    <w:pPr>
      <w:ind w:firstLine="420" w:firstLineChars="200"/>
    </w:pPr>
  </w:style>
  <w:style w:type="character" w:customStyle="1" w:styleId="15">
    <w:name w:val="标题 1 字符"/>
    <w:basedOn w:val="12"/>
    <w:link w:val="2"/>
    <w:qFormat/>
    <w:uiPriority w:val="9"/>
    <w:rPr>
      <w:rFonts w:eastAsia="宋体" w:asciiTheme="minorAscii" w:hAnsiTheme="minorAscii"/>
      <w:b/>
      <w:bCs/>
      <w:kern w:val="44"/>
      <w:sz w:val="24"/>
      <w:szCs w:val="44"/>
    </w:rPr>
  </w:style>
  <w:style w:type="character" w:customStyle="1" w:styleId="16">
    <w:name w:val="标题 2 字符"/>
    <w:basedOn w:val="12"/>
    <w:link w:val="3"/>
    <w:qFormat/>
    <w:uiPriority w:val="9"/>
    <w:rPr>
      <w:rFonts w:eastAsia="宋体" w:asciiTheme="majorAscii" w:hAnsiTheme="majorAscii" w:cstheme="majorBidi"/>
      <w:b/>
      <w:bCs/>
      <w:sz w:val="21"/>
      <w:szCs w:val="32"/>
    </w:rPr>
  </w:style>
  <w:style w:type="character" w:customStyle="1" w:styleId="17">
    <w:name w:val="标题 3 字符"/>
    <w:basedOn w:val="12"/>
    <w:link w:val="4"/>
    <w:qFormat/>
    <w:uiPriority w:val="9"/>
    <w:rPr>
      <w:b/>
      <w:bCs/>
      <w:sz w:val="32"/>
      <w:szCs w:val="32"/>
    </w:rPr>
  </w:style>
  <w:style w:type="character" w:customStyle="1" w:styleId="18">
    <w:name w:val="标题 4 字符"/>
    <w:basedOn w:val="12"/>
    <w:link w:val="5"/>
    <w:qFormat/>
    <w:uiPriority w:val="9"/>
    <w:rPr>
      <w:rFonts w:eastAsia="宋体" w:asciiTheme="majorHAnsi" w:hAnsiTheme="majorHAnsi" w:cstheme="majorBidi"/>
      <w:b/>
      <w:bCs/>
      <w:szCs w:val="28"/>
    </w:rPr>
  </w:style>
  <w:style w:type="paragraph" w:customStyle="1" w:styleId="1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
    <w:name w:val="正文 1"/>
    <w:basedOn w:val="1"/>
    <w:qFormat/>
    <w:uiPriority w:val="0"/>
    <w:pPr>
      <w:widowControl/>
      <w:snapToGrid w:val="0"/>
      <w:spacing w:before="40" w:after="40" w:line="360" w:lineRule="auto"/>
      <w:ind w:left="1134"/>
      <w:jc w:val="left"/>
      <w:textAlignment w:val="auto"/>
    </w:pPr>
    <w:rPr>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618</Words>
  <Characters>3523</Characters>
  <Lines>29</Lines>
  <Paragraphs>8</Paragraphs>
  <TotalTime>33</TotalTime>
  <ScaleCrop>false</ScaleCrop>
  <LinksUpToDate>false</LinksUpToDate>
  <CharactersWithSpaces>4133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2020-03-25T13:29:00Z</dcterms:created>
  <dc:creator>netuser</dc:creator>
  <cp:lastModifiedBy>naiky</cp:lastModifiedBy>
  <dcterms:modified xsi:type="dcterms:W3CDTF">2020-04-26T09:35:35Z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