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bCs/>
          <w:color w:val="auto"/>
          <w:sz w:val="44"/>
          <w:szCs w:val="44"/>
          <w:highlight w:val="none"/>
          <w:lang w:val="en-US" w:eastAsia="zh-CN"/>
        </w:rPr>
      </w:pPr>
      <w:r>
        <w:rPr>
          <w:rFonts w:hint="default" w:ascii="Times New Roman" w:hAnsi="Times New Roman" w:eastAsia="方正小标宋简体" w:cs="Times New Roman"/>
          <w:b/>
          <w:bCs/>
          <w:color w:val="auto"/>
          <w:sz w:val="44"/>
          <w:szCs w:val="44"/>
          <w:highlight w:val="none"/>
          <w:lang w:val="en-US" w:eastAsia="zh-CN"/>
        </w:rPr>
        <w:t>202</w:t>
      </w:r>
      <w:r>
        <w:rPr>
          <w:rFonts w:hint="eastAsia" w:eastAsia="方正小标宋简体" w:cs="Times New Roman"/>
          <w:b/>
          <w:bCs/>
          <w:color w:val="auto"/>
          <w:sz w:val="44"/>
          <w:szCs w:val="44"/>
          <w:highlight w:val="none"/>
          <w:lang w:val="en-US" w:eastAsia="zh-CN"/>
        </w:rPr>
        <w:t>1</w:t>
      </w:r>
      <w:r>
        <w:rPr>
          <w:rFonts w:hint="default" w:ascii="Times New Roman" w:hAnsi="Times New Roman" w:eastAsia="方正小标宋简体" w:cs="Times New Roman"/>
          <w:b/>
          <w:bCs/>
          <w:color w:val="auto"/>
          <w:sz w:val="44"/>
          <w:szCs w:val="44"/>
          <w:highlight w:val="none"/>
          <w:lang w:val="en-US" w:eastAsia="zh-CN"/>
        </w:rPr>
        <w:t>年</w:t>
      </w:r>
      <w:r>
        <w:rPr>
          <w:rFonts w:hint="eastAsia" w:eastAsia="方正小标宋简体" w:cs="Times New Roman"/>
          <w:b/>
          <w:bCs/>
          <w:color w:val="auto"/>
          <w:sz w:val="44"/>
          <w:szCs w:val="44"/>
          <w:highlight w:val="none"/>
          <w:lang w:val="en-US" w:eastAsia="zh-CN"/>
        </w:rPr>
        <w:t>春</w:t>
      </w:r>
      <w:r>
        <w:rPr>
          <w:rFonts w:hint="default" w:ascii="Times New Roman" w:hAnsi="Times New Roman" w:eastAsia="方正小标宋简体" w:cs="Times New Roman"/>
          <w:b/>
          <w:bCs/>
          <w:color w:val="auto"/>
          <w:sz w:val="44"/>
          <w:szCs w:val="44"/>
          <w:highlight w:val="none"/>
          <w:lang w:val="en-US" w:eastAsia="zh-CN"/>
        </w:rPr>
        <w:t>节慰问品采购项目需求</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bCs/>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一、项目清单及规格</w:t>
      </w:r>
    </w:p>
    <w:p>
      <w:pPr>
        <w:pStyle w:val="2"/>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慰问品套</w:t>
      </w:r>
      <w:r>
        <w:rPr>
          <w:rFonts w:hint="default" w:ascii="Times New Roman" w:hAnsi="Times New Roman" w:eastAsia="仿宋_GB2312" w:cs="Times New Roman"/>
          <w:sz w:val="30"/>
          <w:szCs w:val="30"/>
          <w:lang w:eastAsia="zh-CN"/>
        </w:rPr>
        <w:t>餐</w:t>
      </w:r>
      <w:r>
        <w:rPr>
          <w:rFonts w:hint="default" w:ascii="Times New Roman" w:hAnsi="Times New Roman" w:eastAsia="仿宋_GB2312" w:cs="Times New Roman"/>
          <w:sz w:val="30"/>
          <w:szCs w:val="30"/>
        </w:rPr>
        <w:t>包含序号1-</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全部慰问品种类，响应报价时必须对</w:t>
      </w:r>
      <w:r>
        <w:rPr>
          <w:rFonts w:hint="default" w:ascii="Times New Roman" w:hAnsi="Times New Roman" w:eastAsia="仿宋_GB2312" w:cs="Times New Roman"/>
          <w:sz w:val="30"/>
          <w:szCs w:val="30"/>
          <w:lang w:eastAsia="zh-CN"/>
        </w:rPr>
        <w:t>单项</w:t>
      </w:r>
      <w:r>
        <w:rPr>
          <w:rFonts w:hint="default" w:ascii="Times New Roman" w:hAnsi="Times New Roman" w:eastAsia="仿宋_GB2312" w:cs="Times New Roman"/>
          <w:sz w:val="30"/>
          <w:szCs w:val="30"/>
        </w:rPr>
        <w:t>物品分别进行报价，如所报套装的总价及分项价超过采购限价，则其报价文件作无效处理。套装限价为</w:t>
      </w:r>
      <w:r>
        <w:rPr>
          <w:rFonts w:hint="eastAsia" w:ascii="Times New Roman" w:hAnsi="Times New Roman" w:eastAsia="仿宋_GB2312" w:cs="Times New Roman"/>
          <w:sz w:val="30"/>
          <w:szCs w:val="30"/>
          <w:lang w:val="en-US" w:eastAsia="zh-CN"/>
        </w:rPr>
        <w:t>180</w:t>
      </w:r>
      <w:r>
        <w:rPr>
          <w:rFonts w:hint="default" w:ascii="Times New Roman" w:hAnsi="Times New Roman" w:eastAsia="仿宋_GB2312" w:cs="Times New Roman"/>
          <w:sz w:val="30"/>
          <w:szCs w:val="30"/>
          <w:lang w:eastAsia="zh-CN"/>
        </w:rPr>
        <w:t>元/份</w:t>
      </w:r>
      <w:r>
        <w:rPr>
          <w:rFonts w:hint="default" w:ascii="Times New Roman" w:hAnsi="Times New Roman" w:eastAsia="仿宋_GB2312" w:cs="Times New Roman"/>
          <w:sz w:val="30"/>
          <w:szCs w:val="30"/>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仿宋_GB2312" w:cs="Times New Roman"/>
          <w:sz w:val="30"/>
          <w:szCs w:val="30"/>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032"/>
        <w:gridCol w:w="2148"/>
        <w:gridCol w:w="1068"/>
        <w:gridCol w:w="258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6" w:type="dxa"/>
            <w:vAlign w:val="center"/>
          </w:tcPr>
          <w:p>
            <w:pPr>
              <w:keepNext w:val="0"/>
              <w:keepLines w:val="0"/>
              <w:pageBreakBefore w:val="0"/>
              <w:widowControl/>
              <w:kinsoku/>
              <w:wordWrap/>
              <w:overflowPunct/>
              <w:topLinePunct w:val="0"/>
              <w:autoSpaceDE/>
              <w:autoSpaceDN/>
              <w:bidi w:val="0"/>
              <w:spacing w:line="360" w:lineRule="exact"/>
              <w:ind w:left="0" w:leftChars="0" w:firstLine="0" w:firstLineChars="0"/>
              <w:jc w:val="left"/>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cs="Times New Roman"/>
                <w:b/>
                <w:sz w:val="24"/>
                <w:szCs w:val="24"/>
              </w:rPr>
              <w:t>序号</w:t>
            </w:r>
          </w:p>
        </w:tc>
        <w:tc>
          <w:tcPr>
            <w:tcW w:w="1032" w:type="dxa"/>
            <w:vAlign w:val="center"/>
          </w:tcPr>
          <w:p>
            <w:pPr>
              <w:keepNext w:val="0"/>
              <w:keepLines w:val="0"/>
              <w:pageBreakBefore w:val="0"/>
              <w:widowControl/>
              <w:kinsoku/>
              <w:wordWrap/>
              <w:overflowPunct/>
              <w:topLinePunct w:val="0"/>
              <w:autoSpaceDE/>
              <w:autoSpaceDN/>
              <w:bidi w:val="0"/>
              <w:spacing w:line="360" w:lineRule="exact"/>
              <w:ind w:left="0" w:leftChars="0" w:firstLine="241" w:firstLineChars="100"/>
              <w:jc w:val="left"/>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cs="Times New Roman"/>
                <w:b/>
                <w:sz w:val="24"/>
                <w:szCs w:val="24"/>
              </w:rPr>
              <w:t>品种</w:t>
            </w:r>
          </w:p>
        </w:tc>
        <w:tc>
          <w:tcPr>
            <w:tcW w:w="2148" w:type="dxa"/>
            <w:vAlign w:val="center"/>
          </w:tcPr>
          <w:p>
            <w:pPr>
              <w:keepNext w:val="0"/>
              <w:keepLines w:val="0"/>
              <w:pageBreakBefore w:val="0"/>
              <w:widowControl/>
              <w:kinsoku/>
              <w:wordWrap/>
              <w:overflowPunct/>
              <w:topLinePunct w:val="0"/>
              <w:autoSpaceDE/>
              <w:autoSpaceDN/>
              <w:bidi w:val="0"/>
              <w:spacing w:line="360" w:lineRule="exact"/>
              <w:ind w:left="0" w:leftChars="0" w:firstLine="0" w:firstLineChars="0"/>
              <w:jc w:val="center"/>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cs="Times New Roman"/>
                <w:b/>
                <w:sz w:val="24"/>
                <w:szCs w:val="24"/>
                <w:lang w:eastAsia="zh-CN"/>
              </w:rPr>
              <w:t>质量</w:t>
            </w:r>
            <w:r>
              <w:rPr>
                <w:rFonts w:hint="default" w:ascii="Times New Roman" w:hAnsi="Times New Roman" w:cs="Times New Roman"/>
                <w:b/>
                <w:sz w:val="24"/>
                <w:szCs w:val="24"/>
              </w:rPr>
              <w:t>要求</w:t>
            </w:r>
          </w:p>
        </w:tc>
        <w:tc>
          <w:tcPr>
            <w:tcW w:w="1068" w:type="dxa"/>
            <w:vAlign w:val="center"/>
          </w:tcPr>
          <w:p>
            <w:pPr>
              <w:keepNext w:val="0"/>
              <w:keepLines w:val="0"/>
              <w:pageBreakBefore w:val="0"/>
              <w:widowControl/>
              <w:kinsoku/>
              <w:wordWrap/>
              <w:overflowPunct/>
              <w:topLinePunct w:val="0"/>
              <w:autoSpaceDE/>
              <w:autoSpaceDN/>
              <w:bidi w:val="0"/>
              <w:spacing w:line="360" w:lineRule="exact"/>
              <w:ind w:left="0" w:leftChars="0" w:firstLine="0" w:firstLineChars="0"/>
              <w:jc w:val="center"/>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cs="Times New Roman"/>
                <w:b/>
                <w:sz w:val="24"/>
                <w:szCs w:val="24"/>
              </w:rPr>
              <w:t>等级</w:t>
            </w:r>
          </w:p>
        </w:tc>
        <w:tc>
          <w:tcPr>
            <w:tcW w:w="2580" w:type="dxa"/>
            <w:vAlign w:val="center"/>
          </w:tcPr>
          <w:p>
            <w:pPr>
              <w:keepNext w:val="0"/>
              <w:keepLines w:val="0"/>
              <w:pageBreakBefore w:val="0"/>
              <w:widowControl/>
              <w:kinsoku/>
              <w:wordWrap/>
              <w:overflowPunct/>
              <w:topLinePunct w:val="0"/>
              <w:autoSpaceDE/>
              <w:autoSpaceDN/>
              <w:bidi w:val="0"/>
              <w:spacing w:line="360" w:lineRule="exact"/>
              <w:ind w:firstLine="482" w:firstLineChars="200"/>
              <w:jc w:val="left"/>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cs="Times New Roman"/>
                <w:b/>
                <w:sz w:val="24"/>
                <w:szCs w:val="24"/>
              </w:rPr>
              <w:t>参考品牌</w:t>
            </w:r>
          </w:p>
        </w:tc>
        <w:tc>
          <w:tcPr>
            <w:tcW w:w="1344" w:type="dxa"/>
            <w:vAlign w:val="center"/>
          </w:tcPr>
          <w:p>
            <w:pPr>
              <w:keepNext w:val="0"/>
              <w:keepLines w:val="0"/>
              <w:pageBreakBefore w:val="0"/>
              <w:widowControl/>
              <w:kinsoku/>
              <w:wordWrap/>
              <w:overflowPunct/>
              <w:topLinePunct w:val="0"/>
              <w:autoSpaceDE/>
              <w:autoSpaceDN/>
              <w:bidi w:val="0"/>
              <w:spacing w:line="360" w:lineRule="exact"/>
              <w:ind w:left="0" w:leftChars="0" w:firstLine="0" w:firstLineChars="0"/>
              <w:jc w:val="center"/>
              <w:textAlignment w:val="auto"/>
              <w:rPr>
                <w:rFonts w:hint="default" w:ascii="Times New Roman" w:hAnsi="Times New Roman" w:eastAsia="宋体" w:cs="Times New Roman"/>
                <w:b/>
                <w:kern w:val="2"/>
                <w:sz w:val="24"/>
                <w:szCs w:val="24"/>
                <w:lang w:val="en-US" w:eastAsia="zh-CN" w:bidi="ar-SA"/>
              </w:rPr>
            </w:pPr>
            <w:r>
              <w:rPr>
                <w:rFonts w:hint="default" w:ascii="Times New Roman" w:hAnsi="Times New Roman" w:cs="Times New Roman"/>
                <w:b/>
                <w:sz w:val="24"/>
                <w:szCs w:val="24"/>
                <w:lang w:eastAsia="zh-CN"/>
              </w:rPr>
              <w:t>规格及包装</w:t>
            </w:r>
            <w:r>
              <w:rPr>
                <w:rFonts w:hint="default" w:ascii="Times New Roman" w:hAnsi="Times New Roman" w:cs="Times New Roman"/>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16" w:type="dxa"/>
            <w:vAlign w:val="center"/>
          </w:tcPr>
          <w:p>
            <w:pPr>
              <w:pStyle w:val="2"/>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1032" w:type="dxa"/>
            <w:vAlign w:val="center"/>
          </w:tcPr>
          <w:p>
            <w:pPr>
              <w:keepNext w:val="0"/>
              <w:keepLines w:val="0"/>
              <w:pageBreakBefore w:val="0"/>
              <w:widowControl/>
              <w:kinsoku/>
              <w:wordWrap/>
              <w:overflowPunct/>
              <w:topLinePunct w:val="0"/>
              <w:autoSpaceDE/>
              <w:autoSpaceDN/>
              <w:bidi w:val="0"/>
              <w:spacing w:line="240" w:lineRule="exact"/>
              <w:ind w:left="0" w:lef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大</w:t>
            </w:r>
            <w:r>
              <w:rPr>
                <w:rFonts w:hint="default" w:ascii="Times New Roman" w:hAnsi="Times New Roman" w:cs="Times New Roman"/>
                <w:sz w:val="24"/>
                <w:szCs w:val="24"/>
              </w:rPr>
              <w:t>米</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left="16" w:leftChars="0" w:hanging="16" w:hangingChars="7"/>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香米，质地软硬适中，具有清新香味。剩余保质期不少于三分之二</w:t>
            </w:r>
            <w:r>
              <w:rPr>
                <w:rFonts w:hint="default" w:ascii="Times New Roman" w:hAnsi="Times New Roman" w:cs="Times New Roman"/>
                <w:sz w:val="24"/>
                <w:szCs w:val="24"/>
                <w:lang w:eastAsia="zh-CN"/>
              </w:rPr>
              <w:t>。</w:t>
            </w:r>
          </w:p>
        </w:tc>
        <w:tc>
          <w:tcPr>
            <w:tcW w:w="1068" w:type="dxa"/>
            <w:vAlign w:val="center"/>
          </w:tcPr>
          <w:p>
            <w:pPr>
              <w:keepNext w:val="0"/>
              <w:keepLines w:val="0"/>
              <w:pageBreakBefore w:val="0"/>
              <w:widowControl/>
              <w:kinsoku/>
              <w:wordWrap/>
              <w:overflowPunct/>
              <w:topLinePunct w:val="0"/>
              <w:autoSpaceDE/>
              <w:autoSpaceDN/>
              <w:bidi w:val="0"/>
              <w:spacing w:line="240" w:lineRule="exact"/>
              <w:ind w:left="0" w:lef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一等品</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1.佰色河牌柬埔寨茉莉香米</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2.香纳兰牌泰国茉莉香米</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3.太粮-靓虾王香软米</w:t>
            </w:r>
          </w:p>
          <w:p>
            <w:pPr>
              <w:pStyle w:val="2"/>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w:t>
            </w:r>
          </w:p>
        </w:tc>
        <w:tc>
          <w:tcPr>
            <w:tcW w:w="1344" w:type="dxa"/>
            <w:vAlign w:val="center"/>
          </w:tcPr>
          <w:p>
            <w:pPr>
              <w:keepNext w:val="0"/>
              <w:keepLines w:val="0"/>
              <w:pageBreakBefore w:val="0"/>
              <w:widowControl/>
              <w:kinsoku/>
              <w:wordWrap/>
              <w:overflowPunct/>
              <w:topLinePunct w:val="0"/>
              <w:autoSpaceDE/>
              <w:autoSpaceDN/>
              <w:bidi w:val="0"/>
              <w:spacing w:line="240" w:lineRule="exact"/>
              <w:ind w:left="0" w:lef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5kg/袋，真空包装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16" w:type="dxa"/>
            <w:vAlign w:val="center"/>
          </w:tcPr>
          <w:p>
            <w:pPr>
              <w:pStyle w:val="2"/>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1032" w:type="dxa"/>
            <w:vAlign w:val="center"/>
          </w:tcPr>
          <w:p>
            <w:pPr>
              <w:keepNext w:val="0"/>
              <w:keepLines w:val="0"/>
              <w:pageBreakBefore w:val="0"/>
              <w:widowControl/>
              <w:kinsoku/>
              <w:wordWrap/>
              <w:overflowPunct/>
              <w:topLinePunct w:val="0"/>
              <w:autoSpaceDE/>
              <w:autoSpaceDN/>
              <w:bidi w:val="0"/>
              <w:spacing w:line="240" w:lineRule="exact"/>
              <w:ind w:left="0" w:lef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花生油</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left="16" w:leftChars="0" w:hanging="16" w:hangingChars="7"/>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非转基因类</w:t>
            </w:r>
            <w:r>
              <w:rPr>
                <w:rFonts w:hint="eastAsia" w:ascii="Times New Roman" w:hAnsi="Times New Roman" w:cs="Times New Roman"/>
                <w:sz w:val="24"/>
                <w:szCs w:val="24"/>
                <w:lang w:eastAsia="zh-CN"/>
              </w:rPr>
              <w:t>花生</w:t>
            </w:r>
            <w:r>
              <w:rPr>
                <w:rFonts w:hint="default" w:ascii="Times New Roman" w:hAnsi="Times New Roman" w:cs="Times New Roman"/>
                <w:sz w:val="24"/>
                <w:szCs w:val="24"/>
              </w:rPr>
              <w:t>油1罐，外包装完好，剩余保质期不少于三分之二，具有产品合格证。</w:t>
            </w:r>
          </w:p>
        </w:tc>
        <w:tc>
          <w:tcPr>
            <w:tcW w:w="1068" w:type="dxa"/>
            <w:vAlign w:val="center"/>
          </w:tcPr>
          <w:p>
            <w:pPr>
              <w:keepNext w:val="0"/>
              <w:keepLines w:val="0"/>
              <w:pageBreakBefore w:val="0"/>
              <w:widowControl/>
              <w:kinsoku/>
              <w:wordWrap/>
              <w:overflowPunct/>
              <w:topLinePunct w:val="0"/>
              <w:autoSpaceDE/>
              <w:autoSpaceDN/>
              <w:bidi w:val="0"/>
              <w:spacing w:line="240" w:lineRule="exact"/>
              <w:ind w:left="0" w:lef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一级品</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1.鲁花牌5S压榨一级花生油</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2.刀唛牌花生油</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3.胡姬花牌</w:t>
            </w:r>
          </w:p>
          <w:p>
            <w:pPr>
              <w:pStyle w:val="2"/>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0"/>
                <w:sz w:val="24"/>
                <w:szCs w:val="24"/>
                <w:lang w:eastAsia="zh-CN"/>
              </w:rPr>
              <w:t>……</w:t>
            </w:r>
          </w:p>
        </w:tc>
        <w:tc>
          <w:tcPr>
            <w:tcW w:w="1344" w:type="dxa"/>
            <w:vAlign w:val="center"/>
          </w:tcPr>
          <w:p>
            <w:pPr>
              <w:keepNext w:val="0"/>
              <w:keepLines w:val="0"/>
              <w:pageBreakBefore w:val="0"/>
              <w:widowControl/>
              <w:kinsoku/>
              <w:wordWrap/>
              <w:overflowPunct/>
              <w:topLinePunct w:val="0"/>
              <w:autoSpaceDE/>
              <w:autoSpaceDN/>
              <w:bidi w:val="0"/>
              <w:spacing w:line="240" w:lineRule="exact"/>
              <w:ind w:left="0" w:lef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升/罐，塑料罐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6" w:type="dxa"/>
            <w:vAlign w:val="center"/>
          </w:tcPr>
          <w:p>
            <w:pPr>
              <w:pStyle w:val="2"/>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3</w:t>
            </w:r>
          </w:p>
        </w:tc>
        <w:tc>
          <w:tcPr>
            <w:tcW w:w="8172" w:type="dxa"/>
            <w:gridSpan w:val="5"/>
            <w:vAlign w:val="center"/>
          </w:tcPr>
          <w:p>
            <w:pPr>
              <w:keepNext w:val="0"/>
              <w:keepLines w:val="0"/>
              <w:pageBreakBefore w:val="0"/>
              <w:widowControl/>
              <w:kinsoku/>
              <w:wordWrap/>
              <w:overflowPunct/>
              <w:topLinePunct w:val="0"/>
              <w:autoSpaceDE/>
              <w:autoSpaceDN/>
              <w:bidi w:val="0"/>
              <w:spacing w:line="240" w:lineRule="exact"/>
              <w:ind w:left="0" w:leftChars="0" w:firstLine="0" w:firstLine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赠送枣红色环保袋一个，可同时装下花生油、香米及相关扶贫产品</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40" w:lineRule="exact"/>
        <w:textAlignment w:val="auto"/>
        <w:rPr>
          <w:rFonts w:hint="default" w:ascii="Times New Roman" w:hAnsi="Times New Roman" w:eastAsia="黑体" w:cs="Times New Roman"/>
          <w:b w:val="0"/>
          <w:bCs w:val="0"/>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40" w:lineRule="exact"/>
        <w:ind w:firstLine="600" w:firstLineChars="200"/>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二、总体要求</w:t>
      </w:r>
    </w:p>
    <w:p>
      <w:pPr>
        <w:keepNext w:val="0"/>
        <w:keepLines w:val="0"/>
        <w:pageBreakBefore w:val="0"/>
        <w:tabs>
          <w:tab w:val="left" w:pos="0"/>
          <w:tab w:val="left" w:pos="420"/>
        </w:tabs>
        <w:kinsoku/>
        <w:wordWrap/>
        <w:overflowPunct/>
        <w:topLinePunct w:val="0"/>
        <w:autoSpaceDE/>
        <w:autoSpaceDN/>
        <w:bidi w:val="0"/>
        <w:adjustRightInd/>
        <w:snapToGrid/>
        <w:spacing w:after="157" w:afterLines="50" w:line="540" w:lineRule="exact"/>
        <w:ind w:right="-178" w:rightChars="-85" w:firstLine="42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1.供应商所供的产品须符合《中华人民共和国食品安全法》及国家的相关规定。</w:t>
      </w:r>
    </w:p>
    <w:p>
      <w:pPr>
        <w:keepNext w:val="0"/>
        <w:keepLines w:val="0"/>
        <w:pageBreakBefore w:val="0"/>
        <w:tabs>
          <w:tab w:val="left" w:pos="0"/>
          <w:tab w:val="left" w:pos="420"/>
        </w:tabs>
        <w:kinsoku/>
        <w:wordWrap/>
        <w:overflowPunct/>
        <w:topLinePunct w:val="0"/>
        <w:autoSpaceDE/>
        <w:autoSpaceDN/>
        <w:bidi w:val="0"/>
        <w:adjustRightInd/>
        <w:snapToGrid/>
        <w:spacing w:after="157" w:afterLines="50" w:line="540" w:lineRule="exact"/>
        <w:ind w:right="-178" w:rightChars="-85" w:firstLine="42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 xml:space="preserve">2.供应商具备履行合同所需的设施及设备、财务能力、技术能力、抗风险能力。近三年内没有与骗取合同有关的犯罪或严重违法行为，且没有发生重大安全事故或重大质量事故。 </w:t>
      </w:r>
    </w:p>
    <w:p>
      <w:pPr>
        <w:keepNext w:val="0"/>
        <w:keepLines w:val="0"/>
        <w:pageBreakBefore w:val="0"/>
        <w:tabs>
          <w:tab w:val="left" w:pos="0"/>
          <w:tab w:val="left" w:pos="420"/>
        </w:tabs>
        <w:kinsoku/>
        <w:wordWrap/>
        <w:overflowPunct/>
        <w:topLinePunct w:val="0"/>
        <w:autoSpaceDE/>
        <w:autoSpaceDN/>
        <w:bidi w:val="0"/>
        <w:adjustRightInd/>
        <w:snapToGrid/>
        <w:spacing w:after="157" w:afterLines="50" w:line="540" w:lineRule="exact"/>
        <w:ind w:right="-178" w:rightChars="-85" w:firstLine="42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3.供应商必须提供货物的相关质检合格证明。</w:t>
      </w:r>
    </w:p>
    <w:p>
      <w:pPr>
        <w:keepNext w:val="0"/>
        <w:keepLines w:val="0"/>
        <w:pageBreakBefore w:val="0"/>
        <w:tabs>
          <w:tab w:val="left" w:pos="0"/>
          <w:tab w:val="left" w:pos="420"/>
        </w:tabs>
        <w:kinsoku/>
        <w:wordWrap/>
        <w:overflowPunct/>
        <w:topLinePunct w:val="0"/>
        <w:autoSpaceDE/>
        <w:autoSpaceDN/>
        <w:bidi w:val="0"/>
        <w:adjustRightInd/>
        <w:snapToGrid/>
        <w:spacing w:after="157" w:afterLines="50" w:line="540" w:lineRule="exact"/>
        <w:ind w:right="-178" w:rightChars="-85" w:firstLine="42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4.供应商所供的产品必须符合国家行业生产、经营标准及有关标准，保证无异味、无霉烂、无变质、无破损，如不符合报价文件所描述的质量标准，必须退货并承担违约责任。</w:t>
      </w:r>
    </w:p>
    <w:p>
      <w:pPr>
        <w:keepNext w:val="0"/>
        <w:keepLines w:val="0"/>
        <w:pageBreakBefore w:val="0"/>
        <w:tabs>
          <w:tab w:val="left" w:pos="0"/>
          <w:tab w:val="left" w:pos="420"/>
        </w:tabs>
        <w:kinsoku/>
        <w:wordWrap/>
        <w:overflowPunct/>
        <w:topLinePunct w:val="0"/>
        <w:autoSpaceDE/>
        <w:autoSpaceDN/>
        <w:bidi w:val="0"/>
        <w:adjustRightInd/>
        <w:snapToGrid/>
        <w:spacing w:after="157" w:afterLines="50" w:line="540" w:lineRule="exact"/>
        <w:ind w:right="-178" w:rightChars="-85" w:firstLine="42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5.供应商不得擅自变更报价货品（含商标、名称、产地、包装、规格和重量等），必须严格按采购方的要求供应，否则采购方有权拒收，由此所产生的费用由供应商负责。</w:t>
      </w:r>
    </w:p>
    <w:p>
      <w:pPr>
        <w:keepNext w:val="0"/>
        <w:keepLines w:val="0"/>
        <w:pageBreakBefore w:val="0"/>
        <w:tabs>
          <w:tab w:val="left" w:pos="0"/>
          <w:tab w:val="left" w:pos="420"/>
        </w:tabs>
        <w:kinsoku/>
        <w:wordWrap/>
        <w:overflowPunct/>
        <w:topLinePunct w:val="0"/>
        <w:autoSpaceDE/>
        <w:autoSpaceDN/>
        <w:bidi w:val="0"/>
        <w:adjustRightInd/>
        <w:snapToGrid/>
        <w:spacing w:after="157" w:afterLines="50" w:line="540" w:lineRule="exact"/>
        <w:ind w:right="-178" w:rightChars="-85" w:firstLine="42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6.供应商应充分做好工作人员的培训、教育工作，严格遵守招标人（医院）的各项规定。</w:t>
      </w:r>
    </w:p>
    <w:p>
      <w:pPr>
        <w:keepNext w:val="0"/>
        <w:keepLines w:val="0"/>
        <w:pageBreakBefore w:val="0"/>
        <w:tabs>
          <w:tab w:val="left" w:pos="0"/>
          <w:tab w:val="left" w:pos="420"/>
        </w:tabs>
        <w:kinsoku/>
        <w:wordWrap/>
        <w:overflowPunct/>
        <w:topLinePunct w:val="0"/>
        <w:autoSpaceDE/>
        <w:autoSpaceDN/>
        <w:bidi w:val="0"/>
        <w:adjustRightInd/>
        <w:snapToGrid/>
        <w:spacing w:after="157" w:afterLines="50" w:line="540" w:lineRule="exact"/>
        <w:ind w:right="-178" w:rightChars="-85" w:firstLine="42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7.供应商不得将成交项目转包、分包，否则采购方有权单方终止合同，由此产生的一切经济损失由供应商自行承担。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40" w:lineRule="exact"/>
        <w:ind w:firstLine="600" w:firstLineChars="200"/>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三、服务要求</w:t>
      </w:r>
    </w:p>
    <w:p>
      <w:pPr>
        <w:keepNext w:val="0"/>
        <w:keepLines w:val="0"/>
        <w:pageBreakBefore w:val="0"/>
        <w:widowControl/>
        <w:tabs>
          <w:tab w:val="left" w:pos="0"/>
        </w:tabs>
        <w:kinsoku/>
        <w:wordWrap/>
        <w:overflowPunct/>
        <w:topLinePunct w:val="0"/>
        <w:autoSpaceDE/>
        <w:autoSpaceDN/>
        <w:bidi w:val="0"/>
        <w:adjustRightInd/>
        <w:snapToGrid/>
        <w:spacing w:after="157" w:afterLines="50" w:line="540" w:lineRule="exact"/>
        <w:ind w:right="-171" w:firstLine="600" w:firstLineChars="200"/>
        <w:jc w:val="left"/>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1.送货标准：按照每人份/袋提供，以便采购方发放。</w:t>
      </w:r>
    </w:p>
    <w:p>
      <w:pPr>
        <w:keepNext w:val="0"/>
        <w:keepLines w:val="0"/>
        <w:pageBreakBefore w:val="0"/>
        <w:widowControl/>
        <w:tabs>
          <w:tab w:val="left" w:pos="0"/>
        </w:tabs>
        <w:kinsoku/>
        <w:wordWrap/>
        <w:overflowPunct/>
        <w:topLinePunct w:val="0"/>
        <w:autoSpaceDE/>
        <w:autoSpaceDN/>
        <w:bidi w:val="0"/>
        <w:adjustRightInd/>
        <w:snapToGrid/>
        <w:spacing w:after="157" w:afterLines="50" w:line="540" w:lineRule="exact"/>
        <w:ind w:right="-171" w:firstLine="600" w:firstLineChars="200"/>
        <w:jc w:val="left"/>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2.供应商的实际供货价是以其成交报价的供货价为执行标准。在实际供应过程中不得以任何理由调整价格。</w:t>
      </w:r>
    </w:p>
    <w:p>
      <w:pPr>
        <w:keepNext w:val="0"/>
        <w:keepLines w:val="0"/>
        <w:pageBreakBefore w:val="0"/>
        <w:widowControl/>
        <w:tabs>
          <w:tab w:val="left" w:pos="0"/>
        </w:tabs>
        <w:kinsoku/>
        <w:wordWrap/>
        <w:overflowPunct/>
        <w:topLinePunct w:val="0"/>
        <w:autoSpaceDE/>
        <w:autoSpaceDN/>
        <w:bidi w:val="0"/>
        <w:adjustRightInd/>
        <w:snapToGrid/>
        <w:spacing w:after="157" w:afterLines="50" w:line="540" w:lineRule="exact"/>
        <w:ind w:right="-171" w:firstLine="600" w:firstLineChars="200"/>
        <w:jc w:val="left"/>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3.供应商必须按询价人指定的时间送货到指定地点（医院总部及各分院、各科室），并配合完成扶贫产品发放，提供5个工作日的定点派送服务（至少5名工作人员、每天服务8小时）</w:t>
      </w:r>
      <w:r>
        <w:rPr>
          <w:rFonts w:hint="eastAsia"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在组织货物供应的运输费、搬运费、税金等一切费用由供应商承担，供应商随货送上一式两份的送货清单，供双方验货后签字确认，双方各持一份，作为送、收货的凭证。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40" w:lineRule="exact"/>
        <w:ind w:firstLine="600" w:firstLineChars="200"/>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四、质量要求</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40" w:lineRule="exact"/>
        <w:ind w:firstLine="600" w:firstLineChars="20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供应商必须保证货物符合国家卫生标准，所有食品剩余保质期不少于三分之二，其中用品按用户需求书中的清单所列要求，不得有腐烂、变质、油脂酸败、霉变、生虫、污秽不洁、混有异物或者其他感官性异常，并不得含有可能对人体健康有害的物质。如果发生出现质量问题或造成食物中毒，经查实后确属供应商责任，供应商应承担全部责任，包括赔偿食物中毒人员医疗费、误工费、事故处理费等，甚至承担刑事责任。</w:t>
      </w:r>
    </w:p>
    <w:p>
      <w:pPr>
        <w:keepNext w:val="0"/>
        <w:keepLines w:val="0"/>
        <w:pageBreakBefore w:val="0"/>
        <w:kinsoku/>
        <w:wordWrap/>
        <w:overflowPunct/>
        <w:topLinePunct w:val="0"/>
        <w:autoSpaceDE/>
        <w:autoSpaceDN/>
        <w:bidi w:val="0"/>
        <w:adjustRightInd/>
        <w:snapToGrid/>
        <w:spacing w:after="157" w:afterLines="50" w:line="540" w:lineRule="exact"/>
        <w:ind w:firstLine="600" w:firstLineChars="200"/>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2.供应商供应过期产品或以次充好产品，采购方有权拒收，并责令其在规定的时间内重新送货；若无法在规定时间内重新送货，按第九条违约责任的第2款处理，所发生经济损失由供应商负责。</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40" w:lineRule="exact"/>
        <w:ind w:firstLine="600" w:firstLineChars="200"/>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五、交货期</w:t>
      </w:r>
    </w:p>
    <w:p>
      <w:pPr>
        <w:keepNext w:val="0"/>
        <w:keepLines w:val="0"/>
        <w:pageBreakBefore w:val="0"/>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57" w:afterLines="50" w:line="540" w:lineRule="exact"/>
        <w:ind w:left="210" w:leftChars="10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2"/>
          <w:sz w:val="30"/>
          <w:szCs w:val="30"/>
          <w:lang w:val="en-US" w:eastAsia="zh-CN" w:bidi="ar-SA"/>
        </w:rPr>
        <w:t>供应商按采购方要求的供货数量交货，供应商备货期为10</w:t>
      </w:r>
      <w:r>
        <w:rPr>
          <w:rFonts w:hint="eastAsia" w:eastAsia="仿宋_GB2312" w:cs="Times New Roman"/>
          <w:kern w:val="2"/>
          <w:sz w:val="30"/>
          <w:szCs w:val="30"/>
          <w:lang w:val="en-US" w:eastAsia="zh-CN" w:bidi="ar-SA"/>
        </w:rPr>
        <w:t>天</w:t>
      </w:r>
      <w:r>
        <w:rPr>
          <w:rFonts w:hint="default" w:ascii="Times New Roman" w:hAnsi="Times New Roman" w:eastAsia="仿宋_GB2312" w:cs="Times New Roman"/>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40" w:lineRule="exact"/>
        <w:ind w:firstLine="600" w:firstLineChars="200"/>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六、比评与评价</w:t>
      </w:r>
    </w:p>
    <w:p>
      <w:pPr>
        <w:jc w:val="left"/>
        <w:rPr>
          <w:rFonts w:hint="default" w:ascii="Times New Roman" w:hAnsi="Times New Roman" w:eastAsia="宋体" w:cs="Times New Roman"/>
          <w:b w:val="0"/>
          <w:bCs w:val="0"/>
          <w:color w:val="auto"/>
          <w:sz w:val="28"/>
          <w:szCs w:val="36"/>
          <w:highlight w:val="none"/>
          <w:lang w:val="en-US" w:eastAsia="zh-CN"/>
        </w:rPr>
      </w:pPr>
      <w:r>
        <w:rPr>
          <w:rFonts w:hint="default" w:ascii="Times New Roman" w:hAnsi="Times New Roman" w:cs="Times New Roman"/>
          <w:b w:val="0"/>
          <w:bCs w:val="0"/>
          <w:color w:val="auto"/>
          <w:sz w:val="28"/>
          <w:szCs w:val="36"/>
          <w:highlight w:val="none"/>
          <w:lang w:val="en-US" w:eastAsia="zh-CN"/>
        </w:rPr>
        <w:t xml:space="preserve">   （附页）</w:t>
      </w:r>
    </w:p>
    <w:p>
      <w:pPr>
        <w:jc w:val="left"/>
        <w:rPr>
          <w:rFonts w:hint="default" w:ascii="Times New Roman" w:hAnsi="Times New Roman" w:cs="Times New Roman"/>
          <w:b w:val="0"/>
          <w:bCs w:val="0"/>
          <w:color w:val="auto"/>
          <w:sz w:val="28"/>
          <w:szCs w:val="36"/>
          <w:highlight w:val="none"/>
        </w:rPr>
      </w:pPr>
    </w:p>
    <w:p>
      <w:pPr>
        <w:jc w:val="left"/>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pStyle w:val="2"/>
        <w:rPr>
          <w:rFonts w:hint="default" w:ascii="Times New Roman" w:hAnsi="Times New Roman" w:cs="Times New Roman"/>
          <w:b w:val="0"/>
          <w:bCs w:val="0"/>
          <w:color w:val="auto"/>
          <w:sz w:val="28"/>
          <w:szCs w:val="36"/>
          <w:highlight w:val="none"/>
        </w:rPr>
      </w:pPr>
    </w:p>
    <w:p>
      <w:pPr>
        <w:jc w:val="left"/>
        <w:rPr>
          <w:rFonts w:hint="default" w:ascii="Times New Roman" w:hAnsi="Times New Roman" w:cs="Times New Roman"/>
          <w:b w:val="0"/>
          <w:bCs w:val="0"/>
          <w:color w:val="auto"/>
          <w:sz w:val="28"/>
          <w:szCs w:val="36"/>
          <w:highlight w:val="none"/>
        </w:rPr>
      </w:pPr>
      <w:r>
        <w:rPr>
          <w:rFonts w:hint="default" w:ascii="Times New Roman" w:hAnsi="Times New Roman" w:cs="Times New Roman"/>
          <w:b/>
          <w:bCs/>
          <w:color w:val="auto"/>
          <w:sz w:val="32"/>
          <w:szCs w:val="40"/>
          <w:highlight w:val="none"/>
        </w:rPr>
        <w:t>1.技术评价</w:t>
      </w:r>
      <w:r>
        <w:rPr>
          <w:rFonts w:hint="default" w:ascii="Times New Roman" w:hAnsi="Times New Roman" w:cs="Times New Roman"/>
          <w:b/>
          <w:bCs/>
          <w:color w:val="auto"/>
          <w:sz w:val="28"/>
          <w:szCs w:val="36"/>
          <w:highlight w:val="none"/>
          <w:lang w:eastAsia="zh-CN"/>
        </w:rPr>
        <w:t>（</w:t>
      </w:r>
      <w:r>
        <w:rPr>
          <w:rFonts w:hint="default" w:ascii="Times New Roman" w:hAnsi="Times New Roman" w:cs="Times New Roman"/>
          <w:b/>
          <w:bCs/>
          <w:color w:val="auto"/>
          <w:sz w:val="28"/>
          <w:szCs w:val="36"/>
          <w:highlight w:val="none"/>
          <w:lang w:val="en-US" w:eastAsia="zh-CN"/>
        </w:rPr>
        <w:t>40分</w:t>
      </w:r>
      <w:r>
        <w:rPr>
          <w:rFonts w:hint="default" w:ascii="Times New Roman" w:hAnsi="Times New Roman" w:cs="Times New Roman"/>
          <w:b/>
          <w:bCs/>
          <w:color w:val="auto"/>
          <w:sz w:val="28"/>
          <w:szCs w:val="36"/>
          <w:highlight w:val="none"/>
          <w:lang w:eastAsia="zh-CN"/>
        </w:rPr>
        <w:t>）</w:t>
      </w:r>
      <w:r>
        <w:rPr>
          <w:rFonts w:hint="default" w:ascii="Times New Roman" w:hAnsi="Times New Roman" w:cs="Times New Roman"/>
          <w:b w:val="0"/>
          <w:bCs w:val="0"/>
          <w:color w:val="auto"/>
          <w:sz w:val="28"/>
          <w:szCs w:val="36"/>
          <w:highlight w:val="none"/>
        </w:rPr>
        <w:t>：</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04"/>
        <w:gridCol w:w="716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noWrap w:val="0"/>
            <w:vAlign w:val="center"/>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1104" w:type="dxa"/>
            <w:noWrap w:val="0"/>
            <w:vAlign w:val="top"/>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评审内容</w:t>
            </w:r>
          </w:p>
        </w:tc>
        <w:tc>
          <w:tcPr>
            <w:tcW w:w="7163" w:type="dxa"/>
            <w:noWrap w:val="0"/>
            <w:vAlign w:val="top"/>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评审细则</w:t>
            </w:r>
          </w:p>
        </w:tc>
        <w:tc>
          <w:tcPr>
            <w:tcW w:w="709" w:type="dxa"/>
            <w:noWrap w:val="0"/>
            <w:vAlign w:val="center"/>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7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104"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响应条件</w:t>
            </w:r>
          </w:p>
        </w:tc>
        <w:tc>
          <w:tcPr>
            <w:tcW w:w="7163" w:type="dxa"/>
            <w:noWrap w:val="0"/>
            <w:vAlign w:val="top"/>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对比各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的技术</w:t>
            </w:r>
            <w:r>
              <w:rPr>
                <w:rFonts w:hint="default" w:ascii="Times New Roman" w:hAnsi="Times New Roman" w:cs="Times New Roman"/>
                <w:color w:val="auto"/>
                <w:highlight w:val="none"/>
                <w:lang w:eastAsia="zh-CN"/>
              </w:rPr>
              <w:t>和服务</w:t>
            </w:r>
            <w:r>
              <w:rPr>
                <w:rFonts w:hint="default" w:ascii="Times New Roman" w:hAnsi="Times New Roman" w:cs="Times New Roman"/>
                <w:color w:val="auto"/>
                <w:highlight w:val="none"/>
              </w:rPr>
              <w:t>响应情况</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含</w:t>
            </w:r>
            <w:r>
              <w:rPr>
                <w:rFonts w:hint="default" w:ascii="Times New Roman" w:hAnsi="Times New Roman" w:cs="Times New Roman"/>
                <w:color w:val="auto"/>
                <w:highlight w:val="none"/>
                <w:lang w:eastAsia="zh-CN"/>
              </w:rPr>
              <w:t>质量要求）</w:t>
            </w:r>
            <w:r>
              <w:rPr>
                <w:rFonts w:hint="default" w:ascii="Times New Roman" w:hAnsi="Times New Roman" w:cs="Times New Roman"/>
                <w:color w:val="auto"/>
                <w:highlight w:val="none"/>
              </w:rPr>
              <w:t>：优于招标文件要求：5分；满足招标文件要求：4分；部分符合招标文件要求：2分；不符合招标文件要求：0分</w:t>
            </w:r>
          </w:p>
        </w:tc>
        <w:tc>
          <w:tcPr>
            <w:tcW w:w="709"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7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104"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货物样品</w:t>
            </w:r>
          </w:p>
        </w:tc>
        <w:tc>
          <w:tcPr>
            <w:tcW w:w="7163" w:type="dxa"/>
            <w:noWrap w:val="0"/>
            <w:vAlign w:val="top"/>
          </w:tcPr>
          <w:p>
            <w:pP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根据货物的外观、气味、质量、包装等方面进行综合比较</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外观精美、气味新鲜、质量有保证、包装精细对比</w:t>
            </w:r>
            <w:r>
              <w:rPr>
                <w:rFonts w:hint="default" w:ascii="Times New Roman" w:hAnsi="Times New Roman" w:cs="Times New Roman"/>
                <w:color w:val="auto"/>
                <w:highlight w:val="none"/>
                <w:lang w:eastAsia="zh-CN"/>
              </w:rPr>
              <w:t>：</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优得</w:t>
            </w:r>
            <w:r>
              <w:rPr>
                <w:rFonts w:hint="default" w:ascii="Times New Roman" w:hAnsi="Times New Roman" w:cs="Times New Roman"/>
                <w:color w:val="auto"/>
                <w:highlight w:val="none"/>
                <w:lang w:val="en-US" w:eastAsia="zh-CN"/>
              </w:rPr>
              <w:t>5-6</w:t>
            </w:r>
            <w:r>
              <w:rPr>
                <w:rFonts w:hint="default" w:ascii="Times New Roman" w:hAnsi="Times New Roman" w:cs="Times New Roman"/>
                <w:color w:val="auto"/>
                <w:highlight w:val="none"/>
              </w:rPr>
              <w:t>分；良得</w:t>
            </w:r>
            <w:r>
              <w:rPr>
                <w:rFonts w:hint="default" w:ascii="Times New Roman" w:hAnsi="Times New Roman" w:cs="Times New Roman"/>
                <w:color w:val="auto"/>
                <w:highlight w:val="none"/>
                <w:lang w:val="en-US" w:eastAsia="zh-CN"/>
              </w:rPr>
              <w:t>3-4</w:t>
            </w:r>
            <w:r>
              <w:rPr>
                <w:rFonts w:hint="default" w:ascii="Times New Roman" w:hAnsi="Times New Roman" w:cs="Times New Roman"/>
                <w:color w:val="auto"/>
                <w:highlight w:val="none"/>
              </w:rPr>
              <w:t>分；一般得</w:t>
            </w:r>
            <w:r>
              <w:rPr>
                <w:rFonts w:hint="default" w:ascii="Times New Roman" w:hAnsi="Times New Roman" w:cs="Times New Roman"/>
                <w:color w:val="auto"/>
                <w:highlight w:val="none"/>
                <w:lang w:val="en-US" w:eastAsia="zh-CN"/>
              </w:rPr>
              <w:t>1-2</w:t>
            </w:r>
            <w:r>
              <w:rPr>
                <w:rFonts w:hint="default" w:ascii="Times New Roman" w:hAnsi="Times New Roman" w:cs="Times New Roman"/>
                <w:color w:val="auto"/>
                <w:highlight w:val="none"/>
              </w:rPr>
              <w:t>分。</w:t>
            </w:r>
            <w:r>
              <w:rPr>
                <w:rFonts w:hint="default" w:ascii="Times New Roman" w:hAnsi="Times New Roman" w:cs="Times New Roman"/>
                <w:color w:val="auto"/>
                <w:highlight w:val="none"/>
                <w:lang w:eastAsia="zh-CN"/>
              </w:rPr>
              <w:t>差得</w:t>
            </w:r>
            <w:r>
              <w:rPr>
                <w:rFonts w:hint="default" w:ascii="Times New Roman" w:hAnsi="Times New Roman" w:cs="Times New Roman"/>
                <w:color w:val="auto"/>
                <w:highlight w:val="none"/>
                <w:lang w:val="en-US" w:eastAsia="zh-CN"/>
              </w:rPr>
              <w:t>0分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提供网站查询单价截图）</w:t>
            </w:r>
          </w:p>
        </w:tc>
        <w:tc>
          <w:tcPr>
            <w:tcW w:w="709" w:type="dxa"/>
            <w:noWrap w:val="0"/>
            <w:vAlign w:val="center"/>
          </w:tcPr>
          <w:p>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72" w:type="dxa"/>
            <w:vMerge w:val="restart"/>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104" w:type="dxa"/>
            <w:vMerge w:val="restart"/>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产品质量保证</w:t>
            </w:r>
          </w:p>
        </w:tc>
        <w:tc>
          <w:tcPr>
            <w:tcW w:w="7163" w:type="dxa"/>
            <w:noWrap w:val="0"/>
            <w:vAlign w:val="top"/>
          </w:tcPr>
          <w:p>
            <w:pP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对投标产品的来源、加工、包装、保存、运输各环节的质量保证措施及食品安全措施</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所投全部货物的授权</w:t>
            </w:r>
            <w:r>
              <w:rPr>
                <w:rFonts w:hint="default" w:ascii="Times New Roman" w:hAnsi="Times New Roman" w:cs="Times New Roman"/>
                <w:color w:val="auto"/>
                <w:highlight w:val="none"/>
                <w:lang w:eastAsia="zh-CN"/>
              </w:rPr>
              <w:t>及</w:t>
            </w:r>
            <w:r>
              <w:rPr>
                <w:rFonts w:hint="default" w:ascii="Times New Roman" w:hAnsi="Times New Roman" w:cs="Times New Roman"/>
                <w:color w:val="auto"/>
                <w:highlight w:val="none"/>
                <w:lang w:val="en-US" w:eastAsia="zh-CN"/>
              </w:rPr>
              <w:t>各类奖项证书</w:t>
            </w:r>
            <w:r>
              <w:rPr>
                <w:rFonts w:hint="default" w:ascii="Times New Roman" w:hAnsi="Times New Roman" w:cs="Times New Roman"/>
                <w:color w:val="auto"/>
                <w:highlight w:val="none"/>
              </w:rPr>
              <w:t>齐全，来源真实可靠有保障</w:t>
            </w:r>
            <w:r>
              <w:rPr>
                <w:rFonts w:hint="default" w:ascii="Times New Roman" w:hAnsi="Times New Roman" w:cs="Times New Roman"/>
                <w:color w:val="auto"/>
                <w:highlight w:val="none"/>
                <w:lang w:eastAsia="zh-CN"/>
              </w:rPr>
              <w:t>等进行综合评价：</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1.优6-8</w:t>
            </w:r>
            <w:r>
              <w:rPr>
                <w:rFonts w:hint="default" w:ascii="Times New Roman" w:hAnsi="Times New Roman" w:cs="Times New Roman"/>
                <w:color w:val="auto"/>
                <w:highlight w:val="none"/>
              </w:rPr>
              <w:t>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2.良3-5</w:t>
            </w:r>
            <w:r>
              <w:rPr>
                <w:rFonts w:hint="default" w:ascii="Times New Roman" w:hAnsi="Times New Roman" w:cs="Times New Roman"/>
                <w:color w:val="auto"/>
                <w:highlight w:val="none"/>
              </w:rPr>
              <w:t>分；</w:t>
            </w:r>
          </w:p>
          <w:p>
            <w:pPr>
              <w:pStyle w:val="2"/>
              <w:rPr>
                <w:rFonts w:hint="default" w:ascii="Times New Roman" w:hAnsi="Times New Roman" w:eastAsia="宋体" w:cs="Times New Roman"/>
                <w:color w:val="auto"/>
                <w:lang w:val="en-US" w:eastAsia="zh-CN"/>
              </w:rPr>
            </w:pPr>
            <w:r>
              <w:rPr>
                <w:rFonts w:hint="default" w:ascii="Times New Roman" w:hAnsi="Times New Roman" w:cs="Times New Roman"/>
                <w:color w:val="auto"/>
                <w:highlight w:val="none"/>
                <w:lang w:val="en-US" w:eastAsia="zh-CN"/>
              </w:rPr>
              <w:t>3.一般1-2分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4.差0</w:t>
            </w:r>
            <w:r>
              <w:rPr>
                <w:rFonts w:hint="default" w:ascii="Times New Roman" w:hAnsi="Times New Roman" w:cs="Times New Roman"/>
                <w:color w:val="auto"/>
                <w:highlight w:val="none"/>
              </w:rPr>
              <w:t>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注：</w:t>
            </w:r>
            <w:r>
              <w:rPr>
                <w:rFonts w:hint="default" w:ascii="Times New Roman" w:hAnsi="Times New Roman" w:cs="Times New Roman"/>
                <w:color w:val="auto"/>
                <w:highlight w:val="none"/>
              </w:rPr>
              <w:t>来源保障（以签订购销合同为准）</w:t>
            </w:r>
          </w:p>
        </w:tc>
        <w:tc>
          <w:tcPr>
            <w:tcW w:w="709" w:type="dxa"/>
            <w:noWrap w:val="0"/>
            <w:vAlign w:val="center"/>
          </w:tcPr>
          <w:p>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672" w:type="dxa"/>
            <w:vMerge w:val="continue"/>
            <w:noWrap w:val="0"/>
            <w:vAlign w:val="center"/>
          </w:tcPr>
          <w:p>
            <w:pPr>
              <w:rPr>
                <w:rFonts w:hint="default" w:ascii="Times New Roman" w:hAnsi="Times New Roman" w:cs="Times New Roman"/>
                <w:color w:val="auto"/>
                <w:highlight w:val="none"/>
              </w:rPr>
            </w:pPr>
          </w:p>
        </w:tc>
        <w:tc>
          <w:tcPr>
            <w:tcW w:w="1104" w:type="dxa"/>
            <w:vMerge w:val="continue"/>
            <w:noWrap w:val="0"/>
            <w:vAlign w:val="center"/>
          </w:tcPr>
          <w:p>
            <w:pPr>
              <w:rPr>
                <w:rFonts w:hint="default" w:ascii="Times New Roman" w:hAnsi="Times New Roman" w:cs="Times New Roman"/>
                <w:color w:val="auto"/>
                <w:highlight w:val="none"/>
                <w:lang w:val="en-US" w:eastAsia="zh-CN"/>
              </w:rPr>
            </w:pPr>
          </w:p>
        </w:tc>
        <w:tc>
          <w:tcPr>
            <w:tcW w:w="7163"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供应商或货物品牌方</w:t>
            </w:r>
            <w:r>
              <w:rPr>
                <w:rFonts w:hint="default" w:ascii="Times New Roman" w:hAnsi="Times New Roman" w:cs="Times New Roman"/>
                <w:color w:val="auto"/>
                <w:highlight w:val="none"/>
              </w:rPr>
              <w:t>购买食品安全责任保险情况（提供投保的证明资料复印件，原件核查）</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购买的年总保额人民币3000万元或以上，得5分；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购买的年总保额人民币3000万元以下，2000万元或以上，得2分；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购买的年总保额人民币2000万元以下，500万元或以上，得1分；</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其他情况或没有的：0分。</w:t>
            </w:r>
          </w:p>
        </w:tc>
        <w:tc>
          <w:tcPr>
            <w:tcW w:w="709" w:type="dxa"/>
            <w:noWrap w:val="0"/>
            <w:vAlign w:val="center"/>
          </w:tcPr>
          <w:p>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72" w:type="dxa"/>
            <w:vMerge w:val="continue"/>
            <w:noWrap w:val="0"/>
            <w:vAlign w:val="center"/>
          </w:tcPr>
          <w:p>
            <w:pPr>
              <w:rPr>
                <w:rFonts w:hint="default" w:ascii="Times New Roman" w:hAnsi="Times New Roman" w:cs="Times New Roman"/>
                <w:color w:val="auto"/>
                <w:highlight w:val="none"/>
              </w:rPr>
            </w:pPr>
          </w:p>
        </w:tc>
        <w:tc>
          <w:tcPr>
            <w:tcW w:w="1104" w:type="dxa"/>
            <w:vMerge w:val="continue"/>
            <w:noWrap w:val="0"/>
            <w:vAlign w:val="center"/>
          </w:tcPr>
          <w:p>
            <w:pPr>
              <w:rPr>
                <w:rFonts w:hint="default" w:ascii="Times New Roman" w:hAnsi="Times New Roman" w:cs="Times New Roman"/>
                <w:color w:val="auto"/>
                <w:highlight w:val="none"/>
                <w:lang w:val="en-US" w:eastAsia="zh-CN"/>
              </w:rPr>
            </w:pPr>
          </w:p>
        </w:tc>
        <w:tc>
          <w:tcPr>
            <w:tcW w:w="7163" w:type="dxa"/>
            <w:noWrap w:val="0"/>
            <w:vAlign w:val="center"/>
          </w:tcPr>
          <w:p>
            <w:pPr>
              <w:rPr>
                <w:rFonts w:hint="default" w:ascii="Times New Roman" w:hAnsi="Times New Roman" w:cs="Times New Roman"/>
                <w:color w:val="auto"/>
                <w:lang w:eastAsia="zh-CN"/>
              </w:rPr>
            </w:pPr>
            <w:r>
              <w:rPr>
                <w:rFonts w:hint="default" w:ascii="Times New Roman" w:hAnsi="Times New Roman" w:cs="Times New Roman"/>
                <w:color w:val="auto"/>
                <w:lang w:eastAsia="zh-CN"/>
              </w:rPr>
              <w:t>为确保产品质量，对所投产品是否大众知名品牌进行评价，可提供京东、天猫等网上销量排名或推荐排行榜等截图证明进行比较评价：</w:t>
            </w:r>
          </w:p>
          <w:p>
            <w:pPr>
              <w:pStyle w:val="2"/>
              <w:numPr>
                <w:ilvl w:val="0"/>
                <w:numId w:val="1"/>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为知名品牌，或是知名品牌代工产品并能提供证明的，得5分</w:t>
            </w:r>
          </w:p>
          <w:p>
            <w:pPr>
              <w:pStyle w:val="2"/>
              <w:numPr>
                <w:ilvl w:val="0"/>
                <w:numId w:val="1"/>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一般品牌，网上销量评价一般的得3分</w:t>
            </w:r>
          </w:p>
          <w:p>
            <w:pPr>
              <w:pStyle w:val="2"/>
              <w:numPr>
                <w:ilvl w:val="0"/>
                <w:numId w:val="1"/>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没有品牌，或网上没有销售的，得0分。</w:t>
            </w:r>
          </w:p>
        </w:tc>
        <w:tc>
          <w:tcPr>
            <w:tcW w:w="709" w:type="dxa"/>
            <w:noWrap w:val="0"/>
            <w:vAlign w:val="center"/>
          </w:tcPr>
          <w:p>
            <w:pPr>
              <w:jc w:val="center"/>
              <w:rPr>
                <w:rFonts w:hint="default" w:ascii="Times New Roman" w:hAnsi="Times New Roman" w:cs="Times New Roman"/>
                <w:color w:val="FF0000"/>
                <w:highlight w:val="none"/>
                <w:lang w:val="en-US" w:eastAsia="zh-CN"/>
              </w:rPr>
            </w:pPr>
            <w:r>
              <w:rPr>
                <w:rFonts w:hint="default" w:ascii="Times New Roman" w:hAnsi="Times New Roman"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67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104"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售后服务</w:t>
            </w:r>
          </w:p>
        </w:tc>
        <w:tc>
          <w:tcPr>
            <w:tcW w:w="7163" w:type="dxa"/>
            <w:noWrap w:val="0"/>
            <w:vAlign w:val="top"/>
          </w:tcPr>
          <w:p>
            <w:pPr>
              <w:rPr>
                <w:rFonts w:hint="default"/>
              </w:rPr>
            </w:pPr>
            <w:r>
              <w:rPr>
                <w:rFonts w:hint="default"/>
              </w:rPr>
              <w:t>优：</w:t>
            </w:r>
            <w:r>
              <w:rPr>
                <w:rFonts w:hint="default"/>
                <w:lang w:eastAsia="zh-CN"/>
              </w:rPr>
              <w:t>供应商</w:t>
            </w:r>
            <w:r>
              <w:rPr>
                <w:rFonts w:hint="default"/>
              </w:rPr>
              <w:t>具有具体有效的售后服务承诺方案，有具体售后服务机构及面向公众的400/800等客服热线，如有质量问题能够重新退货换货，5分；</w:t>
            </w:r>
          </w:p>
          <w:p>
            <w:pPr>
              <w:rPr>
                <w:rFonts w:hint="default"/>
              </w:rPr>
            </w:pPr>
            <w:r>
              <w:rPr>
                <w:rFonts w:hint="default"/>
              </w:rPr>
              <w:t>良：</w:t>
            </w:r>
            <w:r>
              <w:rPr>
                <w:rFonts w:hint="default"/>
                <w:lang w:eastAsia="zh-CN"/>
              </w:rPr>
              <w:t>供应商</w:t>
            </w:r>
            <w:r>
              <w:rPr>
                <w:rFonts w:hint="default"/>
              </w:rPr>
              <w:t>具有较好的售后服务承诺方案，有具体售后服务机构，承诺保障货物质量，如有质量问题重新退货换货，3分；</w:t>
            </w:r>
          </w:p>
          <w:p>
            <w:pPr>
              <w:rPr>
                <w:rFonts w:hint="default"/>
              </w:rPr>
            </w:pPr>
            <w:r>
              <w:rPr>
                <w:rFonts w:hint="default"/>
              </w:rPr>
              <w:t>差：</w:t>
            </w:r>
            <w:r>
              <w:rPr>
                <w:rFonts w:hint="default"/>
                <w:lang w:eastAsia="zh-CN"/>
              </w:rPr>
              <w:t>供应商</w:t>
            </w:r>
            <w:r>
              <w:rPr>
                <w:rFonts w:hint="default"/>
              </w:rPr>
              <w:t>具有较差的售后服务承诺方案，无售后服务机构，不能提供对货物质量的保障承诺，1分</w:t>
            </w:r>
          </w:p>
        </w:tc>
        <w:tc>
          <w:tcPr>
            <w:tcW w:w="709"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67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104"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服务方案综合评定</w:t>
            </w:r>
          </w:p>
        </w:tc>
        <w:tc>
          <w:tcPr>
            <w:tcW w:w="7163" w:type="dxa"/>
            <w:noWrap w:val="0"/>
            <w:vAlign w:val="top"/>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服务方案（根据</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对本项目组织实施的整体规划进行评价，包括但不限于采购、运输、配送、食品安全措施、退换处理、投诉处理、应急预案等计划安排），综合评价优得</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分，综合评价一般得4分，综合评价差得0-3分。</w:t>
            </w:r>
          </w:p>
        </w:tc>
        <w:tc>
          <w:tcPr>
            <w:tcW w:w="709" w:type="dxa"/>
            <w:noWrap w:val="0"/>
            <w:vAlign w:val="center"/>
          </w:tcPr>
          <w:p>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w:t>
            </w:r>
          </w:p>
        </w:tc>
      </w:tr>
    </w:tbl>
    <w:p>
      <w:pPr>
        <w:pStyle w:val="3"/>
        <w:ind w:left="0" w:leftChars="0" w:firstLine="0" w:firstLineChars="0"/>
        <w:rPr>
          <w:rFonts w:hint="default" w:ascii="Times New Roman" w:hAnsi="Times New Roman" w:cs="Times New Roman"/>
          <w:b/>
          <w:bCs/>
          <w:sz w:val="32"/>
          <w:szCs w:val="32"/>
        </w:rPr>
      </w:pPr>
    </w:p>
    <w:p>
      <w:pPr>
        <w:pStyle w:val="3"/>
        <w:ind w:left="0" w:leftChars="0" w:firstLine="0" w:firstLineChars="0"/>
        <w:rPr>
          <w:rFonts w:hint="default" w:ascii="Times New Roman" w:hAnsi="Times New Roman" w:cs="Times New Roman"/>
          <w:b/>
          <w:bCs/>
          <w:sz w:val="32"/>
          <w:szCs w:val="32"/>
        </w:rPr>
      </w:pPr>
      <w:r>
        <w:rPr>
          <w:rFonts w:hint="default" w:ascii="Times New Roman" w:hAnsi="Times New Roman" w:cs="Times New Roman"/>
          <w:b/>
          <w:bCs/>
          <w:sz w:val="32"/>
          <w:szCs w:val="32"/>
        </w:rPr>
        <w:t>2.商务评价</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30分</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w:t>
      </w:r>
    </w:p>
    <w:tbl>
      <w:tblPr>
        <w:tblStyle w:val="5"/>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16"/>
        <w:gridCol w:w="70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1116" w:type="dxa"/>
            <w:noWrap w:val="0"/>
            <w:vAlign w:val="center"/>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评审内容</w:t>
            </w:r>
          </w:p>
        </w:tc>
        <w:tc>
          <w:tcPr>
            <w:tcW w:w="7076" w:type="dxa"/>
            <w:noWrap w:val="0"/>
            <w:vAlign w:val="top"/>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评审细则</w:t>
            </w:r>
          </w:p>
        </w:tc>
        <w:tc>
          <w:tcPr>
            <w:tcW w:w="850" w:type="dxa"/>
            <w:noWrap w:val="0"/>
            <w:vAlign w:val="center"/>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84"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116"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财务状况</w:t>
            </w:r>
          </w:p>
        </w:tc>
        <w:tc>
          <w:tcPr>
            <w:tcW w:w="70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财务、履约能力：提供第三方出具的</w:t>
            </w:r>
            <w:r>
              <w:rPr>
                <w:rFonts w:hint="default" w:ascii="Times New Roman" w:hAnsi="Times New Roman" w:cs="Times New Roman"/>
                <w:color w:val="auto"/>
                <w:highlight w:val="none"/>
                <w:lang w:val="en-US" w:eastAsia="zh-CN"/>
              </w:rPr>
              <w:t>近三</w:t>
            </w:r>
            <w:r>
              <w:rPr>
                <w:rFonts w:hint="default" w:ascii="Times New Roman" w:hAnsi="Times New Roman" w:cs="Times New Roman"/>
                <w:color w:val="auto"/>
                <w:highlight w:val="none"/>
              </w:rPr>
              <w:t>年财务审计报告，</w:t>
            </w:r>
            <w:r>
              <w:rPr>
                <w:rFonts w:hint="default" w:ascii="Times New Roman" w:hAnsi="Times New Roman" w:cs="Times New Roman"/>
                <w:color w:val="auto"/>
                <w:highlight w:val="none"/>
                <w:lang w:eastAsia="zh-CN"/>
              </w:rPr>
              <w:t>对</w:t>
            </w:r>
            <w:r>
              <w:rPr>
                <w:rFonts w:hint="default" w:ascii="Times New Roman" w:hAnsi="Times New Roman" w:cs="Times New Roman"/>
                <w:color w:val="auto"/>
                <w:highlight w:val="none"/>
              </w:rPr>
              <w:t>公司经营（盈利）状况</w:t>
            </w:r>
            <w:r>
              <w:rPr>
                <w:rFonts w:hint="default" w:ascii="Times New Roman" w:hAnsi="Times New Roman" w:cs="Times New Roman"/>
                <w:color w:val="auto"/>
                <w:highlight w:val="none"/>
                <w:lang w:eastAsia="zh-CN"/>
              </w:rPr>
              <w:t>进行打分：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连续3年盈利，得3分；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两年盈利，得1.5分；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一年盈利，得0.5分；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（如提供审计报告内容不全或无提供得0分）</w:t>
            </w:r>
          </w:p>
        </w:tc>
        <w:tc>
          <w:tcPr>
            <w:tcW w:w="850" w:type="dxa"/>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84"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116"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同类业绩</w:t>
            </w:r>
          </w:p>
        </w:tc>
        <w:tc>
          <w:tcPr>
            <w:tcW w:w="70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对比各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201</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年以来，在医疗卫生系统同类的 “节日慰问品”投标业绩（以合同为准），合同金额</w:t>
            </w:r>
            <w:r>
              <w:rPr>
                <w:rFonts w:hint="eastAsia" w:cs="Times New Roman"/>
                <w:color w:val="auto"/>
                <w:highlight w:val="none"/>
                <w:lang w:val="en-US" w:eastAsia="zh-CN"/>
              </w:rPr>
              <w:t>100</w:t>
            </w:r>
            <w:r>
              <w:rPr>
                <w:rFonts w:hint="default" w:ascii="Times New Roman" w:hAnsi="Times New Roman" w:cs="Times New Roman"/>
                <w:color w:val="auto"/>
                <w:highlight w:val="none"/>
              </w:rPr>
              <w:t>万或以上。每提供一个合同复印件得1分，最高</w:t>
            </w:r>
            <w:r>
              <w:rPr>
                <w:rFonts w:hint="eastAsia" w:cs="Times New Roman"/>
                <w:color w:val="auto"/>
                <w:highlight w:val="none"/>
                <w:lang w:val="en-US" w:eastAsia="zh-CN"/>
              </w:rPr>
              <w:t>5</w:t>
            </w:r>
            <w:r>
              <w:rPr>
                <w:rFonts w:hint="default" w:ascii="Times New Roman" w:hAnsi="Times New Roman" w:cs="Times New Roman"/>
                <w:color w:val="auto"/>
                <w:highlight w:val="none"/>
              </w:rPr>
              <w:t>分。（同一个客户不重复计分）</w:t>
            </w:r>
          </w:p>
        </w:tc>
        <w:tc>
          <w:tcPr>
            <w:tcW w:w="850" w:type="dxa"/>
            <w:noWrap w:val="0"/>
            <w:vAlign w:val="center"/>
          </w:tcPr>
          <w:p>
            <w:pPr>
              <w:jc w:val="center"/>
              <w:rPr>
                <w:rFonts w:hint="default" w:ascii="Times New Roman" w:hAnsi="Times New Roman" w:cs="Times New Roman"/>
                <w:color w:val="auto"/>
                <w:highlight w:val="none"/>
                <w:lang w:eastAsia="zh-CN"/>
              </w:rPr>
            </w:pPr>
            <w:r>
              <w:rPr>
                <w:rFonts w:hint="eastAsia"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116"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认证及信用状况</w:t>
            </w:r>
          </w:p>
        </w:tc>
        <w:tc>
          <w:tcPr>
            <w:tcW w:w="70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供应商或货物品牌方</w:t>
            </w:r>
            <w:r>
              <w:rPr>
                <w:rFonts w:hint="default" w:ascii="Times New Roman" w:hAnsi="Times New Roman" w:cs="Times New Roman"/>
                <w:color w:val="auto"/>
                <w:highlight w:val="none"/>
              </w:rPr>
              <w:t>获得ISO质量管理体系认证、ISO职业健康安全管理体系、ISO环境管理体系认证、ISO22000食品安全管理体系认证证书、守合同重信用企业荣誉证书。每提供一个得1分，最高</w:t>
            </w:r>
            <w:r>
              <w:rPr>
                <w:rFonts w:hint="eastAsia" w:cs="Times New Roman"/>
                <w:color w:val="auto"/>
                <w:highlight w:val="none"/>
                <w:lang w:val="en-US" w:eastAsia="zh-CN"/>
              </w:rPr>
              <w:t>6</w:t>
            </w:r>
            <w:r>
              <w:rPr>
                <w:rFonts w:hint="default" w:ascii="Times New Roman" w:hAnsi="Times New Roman" w:cs="Times New Roman"/>
                <w:color w:val="auto"/>
                <w:highlight w:val="none"/>
              </w:rPr>
              <w:t>分。（需提供证书复印件）</w:t>
            </w:r>
          </w:p>
        </w:tc>
        <w:tc>
          <w:tcPr>
            <w:tcW w:w="850" w:type="dxa"/>
            <w:noWrap w:val="0"/>
            <w:vAlign w:val="center"/>
          </w:tcPr>
          <w:p>
            <w:pPr>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116"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综合实力</w:t>
            </w:r>
          </w:p>
        </w:tc>
        <w:tc>
          <w:tcPr>
            <w:tcW w:w="70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供应商项目所在城市有房产或租赁证明，营业建筑面积场所、经营面积与仓库面积，供应商间综合横向比较：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营业建筑面积场所、经营面积与仓库面积之和最大的得：</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营业建筑面积场所、经营面积与仓库面积之和排名第二的得：</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营业建筑面积场所、经营面积与仓库面积之和排名第三的得：</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营业建筑面积场所、经营面积与仓库面积之和排名第四及以后的得：</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无提供相应证明材料得0分。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rPr>
              <w:t>（提供仓库产权证明，如</w:t>
            </w:r>
            <w:r>
              <w:rPr>
                <w:rFonts w:hint="default"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lang w:val="en-US"/>
              </w:rPr>
              <w:t>仓库为租赁的，提供有效期内租赁合同复印件，可等同仓库面积计算得分）</w:t>
            </w:r>
          </w:p>
        </w:tc>
        <w:tc>
          <w:tcPr>
            <w:tcW w:w="850" w:type="dxa"/>
            <w:noWrap w:val="0"/>
            <w:vAlign w:val="center"/>
          </w:tcPr>
          <w:p>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p>
        </w:tc>
        <w:tc>
          <w:tcPr>
            <w:tcW w:w="1116"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运输能力</w:t>
            </w:r>
          </w:p>
        </w:tc>
        <w:tc>
          <w:tcPr>
            <w:tcW w:w="70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有一台自有配送车辆得1分，最高得5分，无得0分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自有的运输车辆提交对应的车辆行驶复印件，其他租用车辆提交车辆行驶证，以及</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名义签订的租赁合同为准</w:t>
            </w:r>
            <w:r>
              <w:rPr>
                <w:rFonts w:hint="default" w:ascii="Times New Roman" w:hAnsi="Times New Roman" w:cs="Times New Roman"/>
                <w:color w:val="auto"/>
                <w:highlight w:val="none"/>
                <w:lang w:eastAsia="zh-CN"/>
              </w:rPr>
              <w:t>。</w:t>
            </w:r>
          </w:p>
        </w:tc>
        <w:tc>
          <w:tcPr>
            <w:tcW w:w="850" w:type="dxa"/>
            <w:noWrap w:val="0"/>
            <w:vAlign w:val="center"/>
          </w:tcPr>
          <w:p>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684" w:type="dxa"/>
            <w:noWrap w:val="0"/>
            <w:vAlign w:val="center"/>
          </w:tcPr>
          <w:p>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w:t>
            </w:r>
          </w:p>
        </w:tc>
        <w:tc>
          <w:tcPr>
            <w:tcW w:w="1116"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资质及获奖情况</w:t>
            </w:r>
          </w:p>
        </w:tc>
        <w:tc>
          <w:tcPr>
            <w:tcW w:w="7076"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供应商或货物品牌方</w:t>
            </w:r>
            <w:r>
              <w:rPr>
                <w:rFonts w:hint="default" w:ascii="Times New Roman" w:hAnsi="Times New Roman" w:cs="Times New Roman"/>
                <w:color w:val="auto"/>
                <w:highlight w:val="none"/>
              </w:rPr>
              <w:t>具有良好的信誉及行业荣誉：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1、中国诚信示范企业（中国中小企业协会）；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2、中国中小企业颁发的“企业信用评价AAA等级信用企业”证书；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3、中国3.15消费者可信赖产品；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4、中国百强优秀企业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5、政府采购优秀供应商；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6、全国产品质量过硬-信誉保证放心品牌（中国中小企业经济管理协会）。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7、全国质量服务信誉AAA级绿色食品品牌企业证书；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8、标准化良好行为企业；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9、全国优质品牌战略推广联合会颁发的“文明单位”；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10、纳税信用A级单位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11.</w:t>
            </w:r>
            <w:r>
              <w:rPr>
                <w:rFonts w:hint="default" w:ascii="Times New Roman" w:hAnsi="Times New Roman" w:cs="Times New Roman"/>
                <w:color w:val="auto"/>
                <w:highlight w:val="none"/>
              </w:rPr>
              <w:t>具有有效的标准化管理体系认证证书；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12.</w:t>
            </w:r>
            <w:r>
              <w:rPr>
                <w:rFonts w:hint="default" w:ascii="Times New Roman" w:hAnsi="Times New Roman" w:cs="Times New Roman"/>
                <w:color w:val="auto"/>
                <w:highlight w:val="none"/>
              </w:rPr>
              <w:t>具有诚信管理体系认证证书；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13.</w:t>
            </w:r>
            <w:r>
              <w:rPr>
                <w:rFonts w:hint="default" w:ascii="Times New Roman" w:hAnsi="Times New Roman" w:cs="Times New Roman"/>
                <w:color w:val="auto"/>
                <w:highlight w:val="none"/>
              </w:rPr>
              <w:t>具有危害分析与关键控制点（HACCP）体系认证证书；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14.</w:t>
            </w:r>
            <w:r>
              <w:rPr>
                <w:rFonts w:hint="default" w:ascii="Times New Roman" w:hAnsi="Times New Roman" w:cs="Times New Roman"/>
                <w:color w:val="auto"/>
                <w:highlight w:val="none"/>
              </w:rPr>
              <w:t>具有AAA级企业信用等级认证证书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每</w:t>
            </w:r>
            <w:r>
              <w:rPr>
                <w:rFonts w:hint="default" w:ascii="Times New Roman" w:hAnsi="Times New Roman" w:cs="Times New Roman"/>
                <w:color w:val="auto"/>
                <w:highlight w:val="none"/>
                <w:lang w:val="en-US" w:eastAsia="zh-CN"/>
              </w:rPr>
              <w:t>少一个扣0.5分</w:t>
            </w:r>
            <w:r>
              <w:rPr>
                <w:rFonts w:hint="default" w:ascii="Times New Roman" w:hAnsi="Times New Roman" w:cs="Times New Roman"/>
                <w:color w:val="auto"/>
                <w:highlight w:val="none"/>
              </w:rPr>
              <w:t>（需提供证书复印件）</w:t>
            </w:r>
          </w:p>
        </w:tc>
        <w:tc>
          <w:tcPr>
            <w:tcW w:w="85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r>
    </w:tbl>
    <w:p>
      <w:pPr>
        <w:pStyle w:val="3"/>
        <w:ind w:firstLineChars="200"/>
        <w:rPr>
          <w:rFonts w:hint="default" w:ascii="Times New Roman" w:hAnsi="Times New Roman" w:cs="Times New Roman"/>
          <w:szCs w:val="21"/>
        </w:rPr>
      </w:pPr>
    </w:p>
    <w:p>
      <w:pPr>
        <w:pStyle w:val="3"/>
        <w:numPr>
          <w:ilvl w:val="0"/>
          <w:numId w:val="0"/>
        </w:numPr>
        <w:ind w:leftChars="0"/>
        <w:rPr>
          <w:rFonts w:hint="default" w:ascii="Times New Roman" w:hAnsi="Times New Roman" w:cs="Times New Roman"/>
          <w:b/>
          <w:bCs/>
          <w:sz w:val="32"/>
          <w:szCs w:val="32"/>
        </w:rPr>
      </w:pPr>
      <w:r>
        <w:rPr>
          <w:rFonts w:hint="default" w:ascii="Times New Roman" w:hAnsi="Times New Roman" w:cs="Times New Roman"/>
          <w:b/>
          <w:bCs/>
          <w:sz w:val="32"/>
          <w:szCs w:val="32"/>
          <w:lang w:val="en-US" w:eastAsia="zh-CN"/>
        </w:rPr>
        <w:t>3.</w:t>
      </w:r>
      <w:r>
        <w:rPr>
          <w:rFonts w:hint="default" w:ascii="Times New Roman" w:hAnsi="Times New Roman" w:cs="Times New Roman"/>
          <w:b/>
          <w:bCs/>
          <w:sz w:val="32"/>
          <w:szCs w:val="32"/>
        </w:rPr>
        <w:t>价格评价</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30分</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w:t>
      </w:r>
    </w:p>
    <w:p>
      <w:pPr>
        <w:pStyle w:val="3"/>
        <w:numPr>
          <w:ilvl w:val="0"/>
          <w:numId w:val="0"/>
        </w:numP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本次报价分两轮进行，以谈判后的第二次报价做为最终报价。</w:t>
      </w:r>
    </w:p>
    <w:tbl>
      <w:tblPr>
        <w:tblStyle w:val="5"/>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88" w:type="dxa"/>
            <w:noWrap w:val="0"/>
            <w:vAlign w:val="center"/>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评审项目</w:t>
            </w:r>
          </w:p>
        </w:tc>
        <w:tc>
          <w:tcPr>
            <w:tcW w:w="900" w:type="dxa"/>
            <w:noWrap w:val="0"/>
            <w:vAlign w:val="center"/>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分值</w:t>
            </w:r>
          </w:p>
        </w:tc>
        <w:tc>
          <w:tcPr>
            <w:tcW w:w="6883" w:type="dxa"/>
            <w:noWrap w:val="0"/>
            <w:vAlign w:val="center"/>
          </w:tcPr>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8"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价格</w:t>
            </w:r>
          </w:p>
        </w:tc>
        <w:tc>
          <w:tcPr>
            <w:tcW w:w="900" w:type="dxa"/>
            <w:noWrap w:val="0"/>
            <w:vAlign w:val="center"/>
          </w:tcPr>
          <w:p>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30</w:t>
            </w:r>
          </w:p>
        </w:tc>
        <w:tc>
          <w:tcPr>
            <w:tcW w:w="6883"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价格分是以满足招标文件要求且投标价格最低的投标报价为评标基准价，其他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的价格分则按比例算出。</w:t>
            </w:r>
          </w:p>
          <w:p>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价格分＝（评标基准价/投标报价）×</w:t>
            </w:r>
            <w:r>
              <w:rPr>
                <w:rFonts w:hint="default" w:ascii="Times New Roman" w:hAnsi="Times New Roman" w:cs="Times New Roman"/>
                <w:color w:val="auto"/>
                <w:highlight w:val="none"/>
                <w:lang w:val="en-US" w:eastAsia="zh-CN"/>
              </w:rPr>
              <w:t>30</w:t>
            </w:r>
          </w:p>
        </w:tc>
      </w:tr>
    </w:tbl>
    <w:p>
      <w:pPr>
        <w:numPr>
          <w:ilvl w:val="0"/>
          <w:numId w:val="0"/>
        </w:numPr>
        <w:jc w:val="left"/>
        <w:rPr>
          <w:rFonts w:hint="default" w:ascii="Times New Roman" w:hAnsi="Times New Roman" w:eastAsia="宋体" w:cs="Times New Roman"/>
          <w:color w:val="auto"/>
          <w:sz w:val="24"/>
          <w:szCs w:val="24"/>
          <w:highlight w:val="none"/>
          <w:lang w:eastAsia="zh-CN"/>
        </w:rPr>
      </w:pPr>
    </w:p>
    <w:sectPr>
      <w:pgSz w:w="11906" w:h="16838"/>
      <w:pgMar w:top="1157" w:right="1576" w:bottom="110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9BCD9"/>
    <w:multiLevelType w:val="singleLevel"/>
    <w:tmpl w:val="9299BCD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B71DF"/>
    <w:rsid w:val="02A641F0"/>
    <w:rsid w:val="02F84417"/>
    <w:rsid w:val="03664F61"/>
    <w:rsid w:val="03C16290"/>
    <w:rsid w:val="05833D2F"/>
    <w:rsid w:val="072F66C1"/>
    <w:rsid w:val="0C47762A"/>
    <w:rsid w:val="11FA6640"/>
    <w:rsid w:val="15A90D9F"/>
    <w:rsid w:val="18D32961"/>
    <w:rsid w:val="1A5C6199"/>
    <w:rsid w:val="1BCE1757"/>
    <w:rsid w:val="1CF27F94"/>
    <w:rsid w:val="1E7D3868"/>
    <w:rsid w:val="1FF50063"/>
    <w:rsid w:val="20C22627"/>
    <w:rsid w:val="21D11108"/>
    <w:rsid w:val="25324A72"/>
    <w:rsid w:val="26CA68E0"/>
    <w:rsid w:val="278A5CF5"/>
    <w:rsid w:val="27BB71DF"/>
    <w:rsid w:val="2BA207CC"/>
    <w:rsid w:val="30D85D44"/>
    <w:rsid w:val="39822C77"/>
    <w:rsid w:val="3DF87B37"/>
    <w:rsid w:val="45CC4E61"/>
    <w:rsid w:val="482B3035"/>
    <w:rsid w:val="48AB0378"/>
    <w:rsid w:val="4AC40607"/>
    <w:rsid w:val="4B2A49FB"/>
    <w:rsid w:val="4D806FF1"/>
    <w:rsid w:val="4ED24027"/>
    <w:rsid w:val="4F2E6668"/>
    <w:rsid w:val="51AA0EDF"/>
    <w:rsid w:val="54BD3506"/>
    <w:rsid w:val="58F43901"/>
    <w:rsid w:val="595F1CF9"/>
    <w:rsid w:val="59CF6619"/>
    <w:rsid w:val="68D93E08"/>
    <w:rsid w:val="6F7A0237"/>
    <w:rsid w:val="70361528"/>
    <w:rsid w:val="7862526E"/>
    <w:rsid w:val="7ABA4BF4"/>
    <w:rsid w:val="7F16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3">
    <w:name w:val="Normal Indent"/>
    <w:basedOn w:val="1"/>
    <w:qFormat/>
    <w:uiPriority w:val="0"/>
    <w:pPr>
      <w:ind w:firstLine="420"/>
    </w:pPr>
  </w:style>
  <w:style w:type="paragraph" w:styleId="4">
    <w:name w:val="Body Text Indent"/>
    <w:basedOn w:val="1"/>
    <w:qFormat/>
    <w:uiPriority w:val="0"/>
    <w:pPr>
      <w:ind w:firstLine="570"/>
    </w:pPr>
    <w:rPr>
      <w:rFonts w:ascii="宋体" w:hAnsi="宋体"/>
      <w:sz w:val="28"/>
      <w:szCs w:val="20"/>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3505</Words>
  <Characters>3684</Characters>
  <Lines>0</Lines>
  <Paragraphs>0</Paragraphs>
  <TotalTime>2</TotalTime>
  <ScaleCrop>false</ScaleCrop>
  <LinksUpToDate>false</LinksUpToDate>
  <CharactersWithSpaces>3691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2020-03-19T05:34:00Z</dcterms:created>
  <dc:creator>Mad  rabbit</dc:creator>
  <cp:lastModifiedBy>舜娟</cp:lastModifiedBy>
  <cp:lastPrinted>2020-03-19T07:07:00Z</cp:lastPrinted>
  <dcterms:modified xsi:type="dcterms:W3CDTF">2020-12-04T07:30:21Z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