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</w:t>
      </w:r>
      <w:r>
        <w:rPr>
          <w:rFonts w:hint="eastAsia" w:ascii="宋体" w:hAnsi="宋体"/>
          <w:bCs/>
          <w:spacing w:val="28"/>
          <w:sz w:val="32"/>
          <w:szCs w:val="32"/>
        </w:rPr>
        <w:t>：</w:t>
      </w:r>
      <w:r>
        <w:rPr>
          <w:rFonts w:hint="eastAsia" w:ascii="宋体" w:hAnsi="宋体"/>
          <w:bCs/>
          <w:spacing w:val="28"/>
          <w:sz w:val="24"/>
          <w:szCs w:val="24"/>
          <w:lang w:val="en-US" w:eastAsia="zh-CN"/>
        </w:rPr>
        <w:t>广东肺癌转化医学重点实验室恒温混匀仪、可调速振荡仪项目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报价含3年的质保期用等其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他一切费用。（如有耗材，价格需要包含3年耗材费用）</w:t>
            </w: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24"/>
          <w:szCs w:val="24"/>
          <w:lang w:val="en-US" w:eastAsia="zh-CN"/>
        </w:rPr>
        <w:t>广东肺癌转化医学重点实验室恒温混匀仪、可调速振荡仪项目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备注：报价含3年的质保期用等其他一切费用。（如有耗材，价格需要包含3年耗材费用）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4804ED4"/>
    <w:rsid w:val="080B25E3"/>
    <w:rsid w:val="0FCE3978"/>
    <w:rsid w:val="130B4B28"/>
    <w:rsid w:val="18F52F52"/>
    <w:rsid w:val="19731EF8"/>
    <w:rsid w:val="1A666BFA"/>
    <w:rsid w:val="1BD71F87"/>
    <w:rsid w:val="1F48152D"/>
    <w:rsid w:val="21620857"/>
    <w:rsid w:val="29793800"/>
    <w:rsid w:val="2B345AA5"/>
    <w:rsid w:val="2F8101B5"/>
    <w:rsid w:val="30635B91"/>
    <w:rsid w:val="36957B86"/>
    <w:rsid w:val="3BDD7FF0"/>
    <w:rsid w:val="3CCE5E3A"/>
    <w:rsid w:val="40AD5DC7"/>
    <w:rsid w:val="42444DCD"/>
    <w:rsid w:val="425B5F22"/>
    <w:rsid w:val="42767ADA"/>
    <w:rsid w:val="44E41623"/>
    <w:rsid w:val="46B50A86"/>
    <w:rsid w:val="4C6435D7"/>
    <w:rsid w:val="4CD5084E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547</Characters>
  <Lines>3</Lines>
  <Paragraphs>1</Paragraphs>
  <TotalTime>0</TotalTime>
  <ScaleCrop>false</ScaleCrop>
  <LinksUpToDate>false</LinksUpToDate>
  <CharactersWithSpaces>660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2022-06-06T07:28:36Z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F7502E51C7C94AF0B0925EB66C69CA69</vt:lpwstr>
  </property>
</Properties>
</file>