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微软雅黑" w:cs="Arial"/>
          <w:b/>
          <w:color w:val="000000"/>
          <w:spacing w:val="23"/>
          <w:sz w:val="28"/>
          <w:szCs w:val="28"/>
          <w:shd w:val="clear" w:color="auto" w:fill="FFFFFF"/>
        </w:rPr>
      </w:pPr>
      <w:r>
        <w:rPr>
          <w:rFonts w:hint="eastAsia" w:ascii="Arial" w:hAnsi="Arial" w:eastAsia="微软雅黑" w:cs="Arial"/>
          <w:b/>
          <w:color w:val="000000"/>
          <w:spacing w:val="23"/>
          <w:sz w:val="24"/>
          <w:szCs w:val="24"/>
          <w:shd w:val="clear" w:color="auto" w:fill="FFFFFF"/>
        </w:rPr>
        <w:t xml:space="preserve">              </w:t>
      </w:r>
      <w:r>
        <w:rPr>
          <w:rFonts w:hint="eastAsia" w:ascii="Arial" w:hAnsi="Arial" w:eastAsia="微软雅黑" w:cs="Arial"/>
          <w:b/>
          <w:color w:val="000000"/>
          <w:spacing w:val="23"/>
          <w:sz w:val="28"/>
          <w:szCs w:val="28"/>
          <w:shd w:val="clear" w:color="auto" w:fill="FFFFFF"/>
        </w:rPr>
        <w:t>检验科科室及导师团队介绍</w:t>
      </w:r>
    </w:p>
    <w:p>
      <w:pPr>
        <w:rPr>
          <w:rFonts w:hint="eastAsia" w:ascii="Arial" w:hAnsi="Arial" w:eastAsia="微软雅黑" w:cs="Arial"/>
          <w:b/>
          <w:color w:val="000000"/>
          <w:spacing w:val="23"/>
          <w:sz w:val="24"/>
          <w:szCs w:val="24"/>
          <w:shd w:val="clear" w:color="auto" w:fill="FFFFFF"/>
        </w:rPr>
      </w:pPr>
    </w:p>
    <w:p>
      <w:pPr>
        <w:rPr>
          <w:rFonts w:hint="eastAsia" w:ascii="Arial" w:hAnsi="Arial" w:eastAsia="微软雅黑" w:cs="Arial"/>
          <w:b/>
          <w:color w:val="000000"/>
          <w:spacing w:val="23"/>
          <w:sz w:val="24"/>
          <w:szCs w:val="24"/>
          <w:shd w:val="clear" w:color="auto" w:fill="FFFFFF"/>
        </w:rPr>
      </w:pPr>
      <w:r>
        <w:rPr>
          <w:rFonts w:hint="eastAsia" w:ascii="Arial" w:hAnsi="Arial" w:eastAsia="微软雅黑" w:cs="Arial"/>
          <w:b/>
          <w:color w:val="000000"/>
          <w:spacing w:val="23"/>
          <w:sz w:val="24"/>
          <w:szCs w:val="24"/>
          <w:shd w:val="clear" w:color="auto" w:fill="FFFFFF"/>
        </w:rPr>
        <w:t>科室简介：</w:t>
      </w:r>
    </w:p>
    <w:p>
      <w:pPr>
        <w:ind w:firstLine="572" w:firstLineChars="200"/>
        <w:rPr>
          <w:rFonts w:hint="eastAsia" w:ascii="Arial" w:hAnsi="Arial" w:eastAsia="微软雅黑" w:cs="Arial"/>
          <w:color w:val="000000"/>
          <w:spacing w:val="2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eastAsia="微软雅黑" w:cs="Arial"/>
          <w:color w:val="000000"/>
          <w:spacing w:val="23"/>
          <w:sz w:val="24"/>
          <w:szCs w:val="24"/>
          <w:shd w:val="clear" w:color="auto" w:fill="FFFFFF"/>
        </w:rPr>
        <w:t>广东省人民医院检验科作为医院一级科室，包括检验科、输血科、广东省临床检验中心，是集医疗、教学、科研和对外服务为一体的现代化大型综合性实验室。实验室总建筑面积约2400平方米。科室围绕“感染、心肾、肿瘤”三个稳定且持续的学科方向进行科研攻关；成立了学科交叉组，以临床问题为导向，发展多学科合作模式，提升临床服务。LDT项目攻关与多学科交叉已成为省医检验科两大亮点。</w:t>
      </w:r>
    </w:p>
    <w:p>
      <w:pPr>
        <w:rPr>
          <w:rFonts w:hint="eastAsia" w:ascii="Arial" w:hAnsi="Arial" w:eastAsia="微软雅黑" w:cs="Arial"/>
          <w:color w:val="000000"/>
          <w:spacing w:val="23"/>
          <w:sz w:val="24"/>
          <w:szCs w:val="24"/>
          <w:shd w:val="clear" w:color="auto" w:fill="FFFFFF"/>
        </w:rPr>
      </w:pPr>
    </w:p>
    <w:p>
      <w:pPr>
        <w:rPr>
          <w:rFonts w:ascii="Arial" w:hAnsi="Arial" w:eastAsia="微软雅黑" w:cs="Arial"/>
          <w:b/>
          <w:color w:val="000000"/>
          <w:spacing w:val="23"/>
          <w:sz w:val="24"/>
          <w:szCs w:val="24"/>
          <w:shd w:val="clear" w:color="auto" w:fill="FFFFFF"/>
        </w:rPr>
      </w:pPr>
      <w:r>
        <w:rPr>
          <w:rFonts w:hint="eastAsia" w:ascii="Arial" w:hAnsi="Arial" w:eastAsia="微软雅黑" w:cs="Arial"/>
          <w:b/>
          <w:color w:val="000000"/>
          <w:spacing w:val="23"/>
          <w:sz w:val="24"/>
          <w:szCs w:val="24"/>
          <w:shd w:val="clear" w:color="auto" w:fill="FFFFFF"/>
        </w:rPr>
        <w:t>导师及团队简介：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1188720" cy="172783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顾兵 教授</w:t>
      </w:r>
    </w:p>
    <w:p>
      <w:pPr>
        <w:pStyle w:val="5"/>
        <w:shd w:val="clear" w:color="auto" w:fill="FFFFFF"/>
        <w:spacing w:line="420" w:lineRule="atLeast"/>
        <w:rPr>
          <w:rFonts w:ascii="Arial" w:hAnsi="Arial" w:eastAsia="微软雅黑" w:cs="Arial"/>
          <w:color w:val="000000"/>
          <w:spacing w:val="23"/>
        </w:rPr>
      </w:pPr>
      <w:r>
        <w:rPr>
          <w:rStyle w:val="8"/>
          <w:rFonts w:ascii="Arial" w:hAnsi="Arial" w:eastAsia="微软雅黑" w:cs="Arial"/>
          <w:color w:val="000000"/>
          <w:spacing w:val="23"/>
        </w:rPr>
        <w:t>顾兵</w:t>
      </w:r>
      <w:r>
        <w:rPr>
          <w:rFonts w:ascii="Arial" w:hAnsi="Arial" w:eastAsia="微软雅黑" w:cs="Arial"/>
          <w:color w:val="000000"/>
          <w:spacing w:val="23"/>
        </w:rPr>
        <w:t>，</w:t>
      </w:r>
      <w:r>
        <w:rPr>
          <w:rFonts w:hint="eastAsia" w:ascii="Arial" w:hAnsi="Arial" w:eastAsia="微软雅黑" w:cs="Arial"/>
          <w:color w:val="000000"/>
          <w:spacing w:val="23"/>
        </w:rPr>
        <w:t>医学博士、教授、博士研究生导师，广东省人民医院检验科主任、学科带头人。美国普渡大学及</w:t>
      </w:r>
      <w:r>
        <w:rPr>
          <w:rFonts w:ascii="Arial" w:hAnsi="Arial" w:eastAsia="微软雅黑" w:cs="Arial"/>
          <w:color w:val="000000"/>
          <w:spacing w:val="23"/>
        </w:rPr>
        <w:t>UCLA访问学者，江苏省“科教强卫”医学重点人才、“333工程”人才、“六大人才高峰”人才、“六个一工程”高层次卫生人才。任中华医学会检验分会青委会副主委、中国医学装备协会检验医学分会副会长、中国康复医学会医学检验与康复专委会副主委、广东省临床基因检测质控中心主任、广东省卫生经济学会检验经济分会会长。J Lab Precis Med执行主编，SCI期刊Ann Transl Med和J Thorac Dis编委。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eastAsia="微软雅黑" w:cs="Arial"/>
          <w:color w:val="000000"/>
          <w:spacing w:val="23"/>
        </w:rPr>
      </w:pPr>
      <w:r>
        <w:rPr>
          <w:rFonts w:hint="eastAsia" w:ascii="Arial" w:hAnsi="Arial" w:eastAsia="微软雅黑" w:cs="Arial"/>
          <w:color w:val="000000"/>
          <w:spacing w:val="23"/>
        </w:rPr>
        <w:t>从事重大传染病快速检测新技术与耐药菌感染防控研究，主持国家自然科学基金</w:t>
      </w:r>
      <w:r>
        <w:rPr>
          <w:rFonts w:ascii="Arial" w:hAnsi="Arial" w:eastAsia="微软雅黑" w:cs="Arial"/>
          <w:color w:val="000000"/>
          <w:spacing w:val="23"/>
        </w:rPr>
        <w:t>5项、省部级课题8项；承担国家科技部重点研发计划1项。以第一或通迅作者发表论文165篇，其中在Emerg Infect Dis、Biosens Bioelectron、Gut Microbes、Emerg Microbes Infect、J Antimicrob Chemother、J Clin Microbiol等本领域权威期刊发表SCI论文106篇，10分以上9篇，累计影响因子562分，H-index为34，被引频次4700余次；主编</w:t>
      </w:r>
      <w:r>
        <w:rPr>
          <w:rFonts w:hint="eastAsia" w:ascii="Arial" w:hAnsi="Arial" w:eastAsia="微软雅黑" w:cs="Arial"/>
          <w:color w:val="000000"/>
          <w:spacing w:val="23"/>
        </w:rPr>
        <w:t>及副主编专著</w:t>
      </w:r>
      <w:r>
        <w:rPr>
          <w:rFonts w:ascii="Arial" w:hAnsi="Arial" w:eastAsia="微软雅黑" w:cs="Arial"/>
          <w:color w:val="000000"/>
          <w:spacing w:val="23"/>
        </w:rPr>
        <w:t>18部；获授权专利7项，省科学技术奖二等奖1项、医学科技奖三等奖1项、医学新技术引进奖6项。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eastAsia="微软雅黑" w:cs="Arial"/>
          <w:color w:val="000000"/>
          <w:spacing w:val="2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eastAsia="微软雅黑" w:cs="Arial"/>
          <w:color w:val="000000"/>
          <w:spacing w:val="23"/>
        </w:rPr>
      </w:pPr>
      <w:r>
        <w:rPr>
          <w:rFonts w:ascii="Arial" w:hAnsi="Arial" w:eastAsia="微软雅黑" w:cs="Arial"/>
          <w:color w:val="000000"/>
          <w:spacing w:val="23"/>
        </w:rPr>
        <w:t>长期从事重大传染病快速检测新技术与耐药菌感染防控研究，被聘为国家卫健委抗菌药物临床应用与细菌耐药评价专家，积极推动我国抗菌药物合理使用工作。主要研究方向有：1）肠道重大传染病快速检测新技术研究；2）临床重要病原菌耐药新机制及感染防控研究；3）新冠病毒感染流行规律、快速检测新技术及防控研究。首次提出在检验科设立“交叉学科组”，促进医教研用全面发展，为学科建设和LDT项目服务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eastAsia="微软雅黑" w:cs="Arial"/>
          <w:color w:val="000000"/>
          <w:spacing w:val="23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eastAsia="微软雅黑" w:cs="Arial"/>
          <w:color w:val="000000"/>
          <w:spacing w:val="23"/>
        </w:rPr>
      </w:pPr>
      <w:r>
        <w:rPr>
          <w:rFonts w:ascii="Arial" w:hAnsi="Arial" w:eastAsia="微软雅黑" w:cs="Arial"/>
          <w:color w:val="000000"/>
          <w:spacing w:val="23"/>
        </w:rPr>
        <w:t>刘晓晓</w:t>
      </w:r>
      <w:r>
        <w:rPr>
          <w:rFonts w:hint="eastAsia" w:ascii="Arial" w:hAnsi="Arial" w:eastAsia="微软雅黑" w:cs="Arial"/>
          <w:color w:val="000000"/>
          <w:spacing w:val="23"/>
        </w:rPr>
        <w:t>，</w:t>
      </w:r>
      <w:r>
        <w:rPr>
          <w:rFonts w:ascii="Arial" w:hAnsi="Arial" w:eastAsia="微软雅黑" w:cs="Arial"/>
          <w:color w:val="000000"/>
          <w:spacing w:val="23"/>
        </w:rPr>
        <w:t>微生物学博士，广东省人民医院检验科 副研究员。检验科微生物组科教组长，感染与免疫组PI。国家自然科学基金一审专家，广东省自然科学基金一审专家。Frontiers in Microbiology杂志审稿人，客座编辑。广东省精准医学应用学会医工结合分会第一届委员会委员。主持国家自然科学基金2项，广东省自然科学基金1项。主要从事耐药菌的“噬菌体疗法”及细菌遗传学研究，关于细菌与细菌相互作用相关成果在Nucleic Acids Research、The ISME Journal、Environmental Microbiology、Journal of Virology等微生物Top及权威期刊发表多篇文章。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eastAsia="微软雅黑" w:cs="Arial"/>
          <w:color w:val="000000"/>
          <w:spacing w:val="23"/>
        </w:rPr>
      </w:pPr>
    </w:p>
    <w:p>
      <w:pPr>
        <w:rPr>
          <w:rFonts w:ascii="Arial" w:hAnsi="Arial" w:eastAsia="微软雅黑" w:cs="Arial"/>
          <w:color w:val="000000"/>
          <w:spacing w:val="2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hM2U3MTkwYzZkMjE2MzBmZGRiZWUyZjRiMTM0NWMifQ=="/>
  </w:docVars>
  <w:rsids>
    <w:rsidRoot w:val="00895718"/>
    <w:rsid w:val="000536EB"/>
    <w:rsid w:val="00056E39"/>
    <w:rsid w:val="00073B30"/>
    <w:rsid w:val="000B5075"/>
    <w:rsid w:val="000C1033"/>
    <w:rsid w:val="0011354A"/>
    <w:rsid w:val="00133E20"/>
    <w:rsid w:val="0015747D"/>
    <w:rsid w:val="00164DE0"/>
    <w:rsid w:val="001A2DAF"/>
    <w:rsid w:val="001B652A"/>
    <w:rsid w:val="001D3B2C"/>
    <w:rsid w:val="001F38E6"/>
    <w:rsid w:val="002032F4"/>
    <w:rsid w:val="002176C3"/>
    <w:rsid w:val="002216FF"/>
    <w:rsid w:val="00246722"/>
    <w:rsid w:val="002866C9"/>
    <w:rsid w:val="00296255"/>
    <w:rsid w:val="002C7642"/>
    <w:rsid w:val="002D3D5B"/>
    <w:rsid w:val="002E64D6"/>
    <w:rsid w:val="00307C09"/>
    <w:rsid w:val="00351AD1"/>
    <w:rsid w:val="00365431"/>
    <w:rsid w:val="003A1CC6"/>
    <w:rsid w:val="003C1898"/>
    <w:rsid w:val="0043279B"/>
    <w:rsid w:val="00457AD1"/>
    <w:rsid w:val="004A3942"/>
    <w:rsid w:val="005028A8"/>
    <w:rsid w:val="00533BFD"/>
    <w:rsid w:val="00540995"/>
    <w:rsid w:val="00542C86"/>
    <w:rsid w:val="005467B7"/>
    <w:rsid w:val="005D546C"/>
    <w:rsid w:val="00610B27"/>
    <w:rsid w:val="00615CFD"/>
    <w:rsid w:val="00625248"/>
    <w:rsid w:val="00627153"/>
    <w:rsid w:val="00632E23"/>
    <w:rsid w:val="00677953"/>
    <w:rsid w:val="00696FA4"/>
    <w:rsid w:val="006C0DD2"/>
    <w:rsid w:val="006D7517"/>
    <w:rsid w:val="006E7032"/>
    <w:rsid w:val="00731674"/>
    <w:rsid w:val="0074474C"/>
    <w:rsid w:val="0076231F"/>
    <w:rsid w:val="00762AF8"/>
    <w:rsid w:val="0077399F"/>
    <w:rsid w:val="00785074"/>
    <w:rsid w:val="007860BA"/>
    <w:rsid w:val="007B397C"/>
    <w:rsid w:val="007C1EEA"/>
    <w:rsid w:val="007D59A1"/>
    <w:rsid w:val="007F39B1"/>
    <w:rsid w:val="008215B2"/>
    <w:rsid w:val="00872553"/>
    <w:rsid w:val="008822F7"/>
    <w:rsid w:val="00895718"/>
    <w:rsid w:val="008A6260"/>
    <w:rsid w:val="008C40C8"/>
    <w:rsid w:val="008C4F04"/>
    <w:rsid w:val="008F2645"/>
    <w:rsid w:val="00934173"/>
    <w:rsid w:val="0094799A"/>
    <w:rsid w:val="0098076B"/>
    <w:rsid w:val="00AC3803"/>
    <w:rsid w:val="00B1325B"/>
    <w:rsid w:val="00B60C45"/>
    <w:rsid w:val="00B65E8A"/>
    <w:rsid w:val="00BC3A30"/>
    <w:rsid w:val="00C02EEA"/>
    <w:rsid w:val="00C05477"/>
    <w:rsid w:val="00C549CA"/>
    <w:rsid w:val="00C77342"/>
    <w:rsid w:val="00CA0FCB"/>
    <w:rsid w:val="00D13400"/>
    <w:rsid w:val="00D95FA7"/>
    <w:rsid w:val="00E0232D"/>
    <w:rsid w:val="00EB71A0"/>
    <w:rsid w:val="00F671DF"/>
    <w:rsid w:val="00F861C0"/>
    <w:rsid w:val="10A7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563C1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1105</Characters>
  <Lines>9</Lines>
  <Paragraphs>2</Paragraphs>
  <TotalTime>51</TotalTime>
  <ScaleCrop>false</ScaleCrop>
  <LinksUpToDate>false</LinksUpToDate>
  <CharactersWithSpaces>1296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2022-09-23T08:48:00Z</dcterms:created>
  <dc:creator>XL</dc:creator>
  <cp:lastModifiedBy>Administrator</cp:lastModifiedBy>
  <dcterms:modified xsi:type="dcterms:W3CDTF">2022-10-21T03:31:13Z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1EBF47A4144E4BC1B497014CC9024A97</vt:lpwstr>
  </property>
</Properties>
</file>