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textAlignment w:val="baseline"/>
        <w:outlineLvl w:val="1"/>
        <w:rPr>
          <w:rFonts w:ascii="方正小标宋简体" w:hAnsi="华文中宋" w:eastAsia="方正小标宋简体" w:cs="华文中宋"/>
          <w:bCs/>
          <w:sz w:val="36"/>
          <w:szCs w:val="44"/>
        </w:rPr>
      </w:pPr>
      <w:r>
        <w:rPr>
          <w:rFonts w:hint="eastAsia" w:ascii="方正小标宋简体" w:hAnsi="华文中宋" w:eastAsia="方正小标宋简体" w:cs="华文中宋"/>
          <w:bCs/>
          <w:sz w:val="36"/>
          <w:szCs w:val="44"/>
        </w:rPr>
        <w:t>附件1：</w:t>
      </w:r>
    </w:p>
    <w:p>
      <w:pPr>
        <w:adjustRightInd w:val="0"/>
        <w:snapToGrid w:val="0"/>
        <w:spacing w:line="360" w:lineRule="auto"/>
        <w:ind w:left="420"/>
        <w:jc w:val="center"/>
        <w:textAlignment w:val="baseline"/>
        <w:outlineLvl w:val="1"/>
        <w:rPr>
          <w:rFonts w:ascii="方正小标宋简体" w:hAnsi="华文中宋" w:eastAsia="方正小标宋简体" w:cs="华文中宋"/>
          <w:bCs/>
          <w:sz w:val="36"/>
          <w:szCs w:val="44"/>
        </w:rPr>
      </w:pPr>
      <w:bookmarkStart w:id="1" w:name="_GoBack"/>
      <w:r>
        <w:rPr>
          <w:rFonts w:hint="eastAsia" w:ascii="方正小标宋简体" w:hAnsi="华文中宋" w:eastAsia="方正小标宋简体" w:cs="华文中宋"/>
          <w:bCs/>
          <w:sz w:val="36"/>
          <w:szCs w:val="44"/>
        </w:rPr>
        <w:t>医院医气机房运维服务项目采购需求</w:t>
      </w:r>
      <w:bookmarkEnd w:id="1"/>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一、总体概述及要求</w:t>
      </w:r>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一）本项目服务范围为广东省人民医院院本部（广州市中山二路106号）及广湾18、口腔中心租赁楼宇等，其中：院本部总建筑面积约为：213276平方米，开放床位数约2729张（期间医院床位增幅或减幅不超过5%的，价格不变；如增减幅超出5%的，超出或低于部分需双方另作协商，按实际数量结算）。</w:t>
      </w:r>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医院医气系统含氧气、正压（空气压力）、负压吸引、氮气、二氧化碳等供应系统，分别有1个液氧站、1个杜瓦罐氧气站、11个机房及6个氧气汇流排间，正压主机15套，负压主机16套，设备带及吊塔气体终端80</w:t>
      </w:r>
      <w:r>
        <w:rPr>
          <w:rFonts w:cs="Courier New" w:asciiTheme="minorEastAsia" w:hAnsiTheme="minorEastAsia"/>
          <w:sz w:val="28"/>
          <w:szCs w:val="28"/>
        </w:rPr>
        <w:t>00</w:t>
      </w:r>
      <w:r>
        <w:rPr>
          <w:rFonts w:hint="eastAsia" w:cs="Courier New" w:asciiTheme="minorEastAsia" w:hAnsiTheme="minorEastAsia"/>
          <w:sz w:val="28"/>
          <w:szCs w:val="28"/>
        </w:rPr>
        <w:t>套，管网管道长度约80公里。其中气源部分配置情况：东三号楼旁边配置有液氧站，其由2台5m</w:t>
      </w:r>
      <w:r>
        <w:rPr>
          <w:rFonts w:hint="eastAsia" w:cs="Courier New" w:asciiTheme="minorEastAsia" w:hAnsiTheme="minorEastAsia"/>
          <w:sz w:val="28"/>
          <w:szCs w:val="28"/>
          <w:vertAlign w:val="superscript"/>
        </w:rPr>
        <w:t>3</w:t>
      </w:r>
      <w:r>
        <w:rPr>
          <w:rFonts w:hint="eastAsia" w:cs="Courier New" w:asciiTheme="minorEastAsia" w:hAnsiTheme="minorEastAsia"/>
          <w:sz w:val="28"/>
          <w:szCs w:val="28"/>
        </w:rPr>
        <w:t>液氧罐供应全院用气，汇流排做备用气源；东一号楼负一层配置有3套螺杆式空气压缩机组、2套水环式真空机组及1套单级旋片真空机组；主体楼7A层配置有3套螺杆式空气压缩机组，1套二氧化碳汇流排；主体楼负三层配置有2套无油涡旋式空气压缩机组、3套水环式真空机组及1套二级螺杆式无油真空机组；英东楼负一层配置有3套螺杆式空气压缩机组；科教楼一层配置有3套水环式真空机组及2套单级旋片真空机组；东二号楼一层配置有2套空气压缩机组，东二号楼五层1套二氧化碳汇流排；口腔中心6楼顶配置有1套空气压缩机组；生殖中心三套汇流排机房；惠福1楼配置有1套空气压缩机组、2套真空机组；广湾18配置有2套真空机组。。主要设备机组配置如下：</w:t>
      </w:r>
    </w:p>
    <w:p>
      <w:pPr>
        <w:adjustRightInd w:val="0"/>
        <w:snapToGrid w:val="0"/>
        <w:spacing w:line="480" w:lineRule="auto"/>
        <w:ind w:firstLine="422" w:firstLineChars="200"/>
        <w:jc w:val="center"/>
        <w:rPr>
          <w:b/>
          <w:bCs/>
          <w:szCs w:val="24"/>
        </w:rPr>
      </w:pPr>
      <w:r>
        <w:rPr>
          <w:rFonts w:hint="eastAsia"/>
          <w:b/>
          <w:bCs/>
          <w:szCs w:val="24"/>
        </w:rPr>
        <w:t>主要设备机组配置表</w:t>
      </w:r>
    </w:p>
    <w:tbl>
      <w:tblPr>
        <w:tblStyle w:val="7"/>
        <w:tblW w:w="9980" w:type="dxa"/>
        <w:tblInd w:w="93" w:type="dxa"/>
        <w:tblLayout w:type="fixed"/>
        <w:tblCellMar>
          <w:top w:w="0" w:type="dxa"/>
          <w:left w:w="108" w:type="dxa"/>
          <w:bottom w:w="0" w:type="dxa"/>
          <w:right w:w="108" w:type="dxa"/>
        </w:tblCellMar>
      </w:tblPr>
      <w:tblGrid>
        <w:gridCol w:w="457"/>
        <w:gridCol w:w="1001"/>
        <w:gridCol w:w="1238"/>
        <w:gridCol w:w="817"/>
        <w:gridCol w:w="1550"/>
        <w:gridCol w:w="1150"/>
        <w:gridCol w:w="1050"/>
        <w:gridCol w:w="1566"/>
        <w:gridCol w:w="1151"/>
      </w:tblGrid>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b/>
                <w:bCs/>
                <w:sz w:val="22"/>
              </w:rPr>
            </w:pPr>
            <w:r>
              <w:rPr>
                <w:rFonts w:ascii="Tahoma" w:hAnsi="Tahoma" w:eastAsia="Tahoma" w:cs="Tahoma"/>
                <w:b/>
                <w:bCs/>
                <w:kern w:val="0"/>
                <w:sz w:val="22"/>
              </w:rPr>
              <w:t>序号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设备名称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安装地点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设备编号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品牌/厂家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额定功率（KW）</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主要性能参数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b/>
                <w:bCs/>
                <w:sz w:val="22"/>
              </w:rPr>
            </w:pPr>
            <w:r>
              <w:rPr>
                <w:rFonts w:hint="eastAsia" w:cs="宋体"/>
                <w:b/>
                <w:bCs/>
                <w:kern w:val="0"/>
                <w:sz w:val="22"/>
              </w:rPr>
              <w:t>出厂日期</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上海申江压力容器厂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1/0.88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上海申江压力容器厂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2011年4月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广州市广众机械有限公司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C-1/0.8G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0.84MPa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2014年12月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上海申江压力容器厂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2005年7月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单级旋片真空泵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昆泰克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QVS-302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7.5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2014年12月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UTD-30B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0.75HP</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3.8m³/min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2014年8月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ahoma" w:hAnsi="Tahoma" w:eastAsia="Tahoma" w:cs="Tahoma"/>
                <w:sz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1.2～2m³/min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吸附式干燥机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UTW-20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ahoma" w:hAnsi="Tahoma" w:eastAsia="Tahoma" w:cs="Tahoma"/>
                <w:sz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2.4Nm³/min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2012年11月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0.78m³/min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2016年2月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0.78m³/min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2016年4月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东一号楼负一层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复盛</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SA08A-8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7.5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1.08m³/min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2013年9月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Style w:val="10"/>
                <w:rFonts w:hint="default"/>
                <w:color w:val="auto"/>
              </w:rPr>
              <w:t>主体楼</w:t>
            </w:r>
            <w:r>
              <w:rPr>
                <w:rStyle w:val="11"/>
                <w:color w:val="auto"/>
              </w:rPr>
              <w:t>7A</w:t>
            </w:r>
            <w:r>
              <w:rPr>
                <w:rStyle w:val="10"/>
                <w:rFonts w:hint="default"/>
                <w:color w:val="auto"/>
              </w:rPr>
              <w:t>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广州市番禺压力容器厂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2002年4月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广州市番禺压力容器厂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2002年4月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UTD-50A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 xml:space="preserve">1HP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6.5m³/min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2018年5月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ahoma" w:hAnsi="Tahoma" w:eastAsia="Tahoma" w:cs="Tahoma"/>
                <w:sz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3.8～7.2m³/min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2017年5月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吸附式干燥机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UTH-065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ahoma" w:hAnsi="Tahoma" w:eastAsia="Tahoma" w:cs="Tahoma"/>
                <w:sz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6.5m³/min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2017年6月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阿特拉斯</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G22P A8.5 FM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3.5m³/min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2014年12月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阿特拉斯</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G22P A8.5 FM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3.5m³/min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2014年12月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主体楼7A层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V22-10VSDXM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变频 1MPa 3.1m³/min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2020年7月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低温液体贮槽</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东三号楼液氧站</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四川空气分离设备厂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ZCF-5000/8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1995年5月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低温液体贮槽</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东三号楼液氧站</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四川空气分离设备厂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ZCF-5000/8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1995年5月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广州市广众机械有限公司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BC-2/1.0G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2019年11月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2HP</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2019年10月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UTD-50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2HP</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2019年10月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吸附式干燥机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UTF-07VW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2019年10月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吸附式干燥机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ATS</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HGO 320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5.4m³/min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2021年12月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无油涡旋式空气压缩机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VT37-10XM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 7*10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1MPa 4.26m³/min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2019年10月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无油涡旋式空气压缩机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WE-37XLL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 7*10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1MPa 4.26m³/min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2021年11月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2020年9月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2020年5月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2015年6月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二级螺杆式无油真空泵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VTZ22-2S-PM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变频 -0.05～-0.07MPa 23.2m³/min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2021年11月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2002年1月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广州市广众机械有限公司</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2m³ 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2021年6月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上海申江压力容器厂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0.84MPa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2012年10月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主体楼负三层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广东省肇庆化工机械厂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0.88MPa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2000年4月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1m³ 0.84MPa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2010年6月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压缩空气储气罐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0.6m³ 0.84MPa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2014年6月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1.5m³ -0.1MPa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2010年7月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1.5m³ -0.1MPa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2010年7月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1.52m³/min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2016年9月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1.52m³/min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2014年8月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螺杆式空气压缩机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英格索兰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V11-8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0.8MPa 1.52m³/min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2017年5月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1SNF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0. 8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1.2Nm³/min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2018年9月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冷冻式干燥机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1SNF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0. 8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1.2Nm³/min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2018年9月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吸附式干燥机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英东楼负一层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优耐特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UTW-20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2.4Nm³/min</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2012年11月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sz w:val="22"/>
              </w:rPr>
            </w:pPr>
            <w:r>
              <w:rPr>
                <w:rFonts w:hint="eastAsia" w:cs="宋体"/>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1.5m³ -0.1MPa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2011年8月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负压储气罐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上海市奉贤设备容器厂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1.5m³ -0.1MPa</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2011年8月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液环式真空泵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NASH</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2BV5 131-0KC00-7P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400m³/h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单级旋片真空泵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昆泰克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QVS-302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7.5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2016年5月</w:t>
            </w:r>
          </w:p>
        </w:tc>
      </w:tr>
      <w:tr>
        <w:tblPrEx>
          <w:tblCellMar>
            <w:top w:w="0" w:type="dxa"/>
            <w:left w:w="108" w:type="dxa"/>
            <w:bottom w:w="0"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单级旋片真空泵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科教楼一层</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昆泰克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QVS-302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7.5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300m³/h</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sz w:val="22"/>
              </w:rPr>
            </w:pPr>
            <w:r>
              <w:rPr>
                <w:rFonts w:ascii="Tahoma" w:hAnsi="Tahoma" w:eastAsia="Tahoma" w:cs="Tahoma"/>
                <w:kern w:val="0"/>
                <w:sz w:val="22"/>
              </w:rPr>
              <w:t>2017年8月</w:t>
            </w:r>
          </w:p>
        </w:tc>
      </w:tr>
    </w:tbl>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（二）服务时间：1年</w:t>
      </w:r>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（三）服务地点：广东省人民医院院本部（广州市中山二路106号）及广湾18、口腔中心租赁楼宇等区域。</w:t>
      </w:r>
    </w:p>
    <w:p>
      <w:pPr>
        <w:tabs>
          <w:tab w:val="left" w:pos="567"/>
        </w:tabs>
        <w:adjustRightInd w:val="0"/>
        <w:snapToGrid w:val="0"/>
        <w:spacing w:line="360" w:lineRule="auto"/>
        <w:ind w:firstLine="560" w:firstLineChars="200"/>
        <w:textAlignment w:val="baseline"/>
        <w:rPr>
          <w:rFonts w:cs="Courier New" w:asciiTheme="minorEastAsia" w:hAnsiTheme="minorEastAsia"/>
          <w:sz w:val="28"/>
          <w:szCs w:val="28"/>
        </w:rPr>
      </w:pPr>
      <w:r>
        <w:rPr>
          <w:rFonts w:hint="eastAsia" w:cs="Courier New" w:asciiTheme="minorEastAsia" w:hAnsiTheme="minorEastAsia"/>
          <w:sz w:val="28"/>
          <w:szCs w:val="28"/>
        </w:rPr>
        <w:t>（四）服务内容及要求。</w:t>
      </w:r>
    </w:p>
    <w:p>
      <w:pPr>
        <w:tabs>
          <w:tab w:val="left" w:pos="567"/>
        </w:tabs>
        <w:adjustRightInd w:val="0"/>
        <w:snapToGrid w:val="0"/>
        <w:spacing w:line="360" w:lineRule="auto"/>
        <w:ind w:firstLine="560" w:firstLineChars="200"/>
        <w:textAlignment w:val="baseline"/>
        <w:rPr>
          <w:rFonts w:ascii="仿宋" w:hAnsi="仿宋" w:eastAsia="仿宋" w:cs="Times New Roman"/>
          <w:b/>
          <w:bCs/>
          <w:kern w:val="0"/>
          <w:sz w:val="24"/>
          <w:szCs w:val="24"/>
        </w:rPr>
      </w:pPr>
      <w:r>
        <w:rPr>
          <w:rFonts w:hint="eastAsia" w:cs="Times New Roman" w:asciiTheme="minorEastAsia" w:hAnsiTheme="minorEastAsia"/>
          <w:bCs/>
          <w:kern w:val="0"/>
          <w:sz w:val="28"/>
          <w:szCs w:val="28"/>
        </w:rPr>
        <w:t>供应商负责对全院医用气体系统提供运维服务，包括空气压缩机组、真空负压机组、液氧汇流排设备、紧急备用氧气汇流排、二氧化碳汇流排、报警设备、区域阀箱、管道等的运行管理、巡检和技术性维修维护。当发生故障时需及时处理，保证全院的医用气体能正常运行使用和供应。</w:t>
      </w:r>
      <w:r>
        <w:rPr>
          <w:rFonts w:hint="eastAsia" w:ascii="仿宋" w:hAnsi="仿宋" w:eastAsia="仿宋" w:cs="Times New Roman"/>
          <w:b/>
          <w:bCs/>
          <w:kern w:val="0"/>
          <w:sz w:val="24"/>
          <w:szCs w:val="24"/>
        </w:rPr>
        <w:t>主要要求如下：</w:t>
      </w:r>
    </w:p>
    <w:p>
      <w:pPr>
        <w:tabs>
          <w:tab w:val="left" w:pos="567"/>
        </w:tabs>
        <w:adjustRightInd w:val="0"/>
        <w:snapToGrid w:val="0"/>
        <w:spacing w:line="400" w:lineRule="exact"/>
        <w:ind w:firstLine="562" w:firstLineChars="200"/>
        <w:jc w:val="left"/>
        <w:textAlignment w:val="baseline"/>
        <w:rPr>
          <w:rFonts w:cs="Times New Roman" w:asciiTheme="minorEastAsia" w:hAnsiTheme="minorEastAsia"/>
          <w:b/>
          <w:bCs/>
          <w:kern w:val="0"/>
          <w:sz w:val="28"/>
          <w:szCs w:val="28"/>
        </w:rPr>
      </w:pPr>
      <w:r>
        <w:rPr>
          <w:rFonts w:hint="eastAsia" w:cs="Times New Roman" w:asciiTheme="minorEastAsia" w:hAnsiTheme="minorEastAsia"/>
          <w:b/>
          <w:bCs/>
          <w:kern w:val="0"/>
          <w:sz w:val="28"/>
          <w:szCs w:val="28"/>
        </w:rPr>
        <w:t>1.</w:t>
      </w:r>
      <w:r>
        <w:rPr>
          <w:rFonts w:hint="eastAsia" w:asciiTheme="minorEastAsia" w:hAnsiTheme="minorEastAsia"/>
          <w:bCs/>
          <w:kern w:val="0"/>
          <w:sz w:val="28"/>
          <w:szCs w:val="28"/>
        </w:rPr>
        <w:t xml:space="preserve"> 保证24小时有专职人员值班，负责处理随时发生的各种故障；</w:t>
      </w:r>
      <w:r>
        <w:rPr>
          <w:rFonts w:hint="eastAsia" w:cs="Times New Roman" w:asciiTheme="minorEastAsia" w:hAnsiTheme="minorEastAsia"/>
          <w:b/>
          <w:bCs/>
          <w:kern w:val="0"/>
          <w:sz w:val="28"/>
          <w:szCs w:val="28"/>
        </w:rPr>
        <w:t>派驻运维服务人员应具备相关资质证书及同类型医院医用气体系统设备设施维保三年及以上经验（提供人员名单及证明）。</w:t>
      </w:r>
    </w:p>
    <w:p>
      <w:pPr>
        <w:tabs>
          <w:tab w:val="left" w:pos="567"/>
        </w:tabs>
        <w:adjustRightInd w:val="0"/>
        <w:snapToGrid w:val="0"/>
        <w:spacing w:line="400" w:lineRule="exact"/>
        <w:ind w:left="480"/>
        <w:textAlignment w:val="baseline"/>
        <w:rPr>
          <w:rFonts w:cs="宋体" w:asciiTheme="minorEastAsia" w:hAnsiTheme="minorEastAsia"/>
          <w:sz w:val="28"/>
          <w:szCs w:val="28"/>
        </w:rPr>
      </w:pPr>
      <w:r>
        <w:rPr>
          <w:rFonts w:hint="eastAsia" w:asciiTheme="minorEastAsia" w:hAnsiTheme="minorEastAsia"/>
          <w:bCs/>
          <w:kern w:val="0"/>
          <w:sz w:val="28"/>
          <w:szCs w:val="28"/>
        </w:rPr>
        <w:t>2.</w:t>
      </w:r>
      <w:r>
        <w:rPr>
          <w:rFonts w:hint="eastAsia" w:cs="宋体" w:asciiTheme="minorEastAsia" w:hAnsiTheme="minorEastAsia"/>
          <w:sz w:val="28"/>
          <w:szCs w:val="28"/>
        </w:rPr>
        <w:t>定期巡检</w:t>
      </w:r>
      <w:r>
        <w:rPr>
          <w:rFonts w:hint="eastAsia" w:asciiTheme="minorEastAsia" w:hAnsiTheme="minorEastAsia"/>
          <w:bCs/>
          <w:kern w:val="0"/>
          <w:sz w:val="28"/>
          <w:szCs w:val="28"/>
        </w:rPr>
        <w:t>液氧站、</w:t>
      </w:r>
      <w:r>
        <w:rPr>
          <w:rFonts w:hint="eastAsia" w:cs="宋体" w:asciiTheme="minorEastAsia" w:hAnsiTheme="minorEastAsia"/>
          <w:sz w:val="28"/>
          <w:szCs w:val="28"/>
        </w:rPr>
        <w:t>压缩空气机房、负压机房、汇流排</w:t>
      </w:r>
      <w:r>
        <w:rPr>
          <w:rFonts w:hint="eastAsia" w:cs="Times New Roman" w:asciiTheme="minorEastAsia" w:hAnsiTheme="minorEastAsia"/>
          <w:bCs/>
          <w:kern w:val="0"/>
          <w:sz w:val="28"/>
          <w:szCs w:val="28"/>
        </w:rPr>
        <w:t>、报警设备、区域阀箱、管道</w:t>
      </w:r>
      <w:r>
        <w:rPr>
          <w:rFonts w:hint="eastAsia" w:cs="宋体" w:asciiTheme="minorEastAsia" w:hAnsiTheme="minorEastAsia"/>
          <w:sz w:val="28"/>
          <w:szCs w:val="28"/>
        </w:rPr>
        <w:t>等设备设施，并进行</w:t>
      </w:r>
      <w:r>
        <w:rPr>
          <w:rFonts w:hint="eastAsia" w:asciiTheme="minorEastAsia" w:hAnsiTheme="minorEastAsia"/>
          <w:sz w:val="28"/>
          <w:szCs w:val="28"/>
        </w:rPr>
        <w:t>切换供应（按实际工作需要）。</w:t>
      </w:r>
    </w:p>
    <w:p>
      <w:pPr>
        <w:tabs>
          <w:tab w:val="left" w:pos="567"/>
        </w:tabs>
        <w:adjustRightInd w:val="0"/>
        <w:snapToGrid w:val="0"/>
        <w:spacing w:line="400" w:lineRule="exact"/>
        <w:ind w:firstLine="560" w:firstLineChars="200"/>
        <w:jc w:val="left"/>
        <w:textAlignment w:val="baseline"/>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2.1检查运行状态，记录主要运行数据，做好日常运营维护保养记录；</w:t>
      </w:r>
    </w:p>
    <w:p>
      <w:pPr>
        <w:tabs>
          <w:tab w:val="left" w:pos="567"/>
        </w:tabs>
        <w:adjustRightInd w:val="0"/>
        <w:snapToGrid w:val="0"/>
        <w:spacing w:line="400" w:lineRule="exact"/>
        <w:ind w:firstLine="560" w:firstLineChars="200"/>
        <w:jc w:val="left"/>
        <w:textAlignment w:val="baseline"/>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2.2针对每台设备建立设备运行档案，建立设备故障台账，详细记录故障原因及维修过程；</w:t>
      </w:r>
    </w:p>
    <w:p>
      <w:pPr>
        <w:tabs>
          <w:tab w:val="left" w:pos="567"/>
        </w:tabs>
        <w:adjustRightInd w:val="0"/>
        <w:snapToGrid w:val="0"/>
        <w:spacing w:line="400" w:lineRule="exact"/>
        <w:ind w:firstLine="560" w:firstLineChars="200"/>
        <w:jc w:val="left"/>
        <w:textAlignment w:val="baseline"/>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2.3机组出现故障时，应及时向甲方管理部门说明故障情况，并提出解决方案；</w:t>
      </w:r>
    </w:p>
    <w:p>
      <w:pPr>
        <w:tabs>
          <w:tab w:val="left" w:pos="567"/>
        </w:tabs>
        <w:adjustRightInd w:val="0"/>
        <w:snapToGrid w:val="0"/>
        <w:spacing w:line="400" w:lineRule="exact"/>
        <w:ind w:firstLine="560" w:firstLineChars="200"/>
        <w:jc w:val="left"/>
        <w:textAlignment w:val="baseline"/>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2.4定期提醒甲方主管部门按设备机组的要求进行保养维护，并协助设备机组维保公司开展保养维护工作；</w:t>
      </w:r>
    </w:p>
    <w:p>
      <w:pPr>
        <w:tabs>
          <w:tab w:val="left" w:pos="567"/>
        </w:tabs>
        <w:adjustRightInd w:val="0"/>
        <w:snapToGrid w:val="0"/>
        <w:spacing w:line="400" w:lineRule="exact"/>
        <w:ind w:firstLine="560" w:firstLineChars="200"/>
        <w:jc w:val="left"/>
        <w:textAlignment w:val="baseline"/>
        <w:rPr>
          <w:rFonts w:cs="Times New Roman" w:asciiTheme="minorEastAsia" w:hAnsiTheme="minorEastAsia"/>
          <w:bCs/>
          <w:kern w:val="0"/>
          <w:sz w:val="28"/>
          <w:szCs w:val="28"/>
        </w:rPr>
      </w:pPr>
      <w:r>
        <w:rPr>
          <w:rFonts w:hint="eastAsia" w:cs="Times New Roman" w:asciiTheme="minorEastAsia" w:hAnsiTheme="minorEastAsia"/>
          <w:bCs/>
          <w:kern w:val="0"/>
          <w:sz w:val="28"/>
          <w:szCs w:val="28"/>
        </w:rPr>
        <w:t>2.5具体要求：</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cs="Times New Roman" w:asciiTheme="minorEastAsia" w:hAnsiTheme="minorEastAsia"/>
          <w:bCs/>
          <w:kern w:val="0"/>
          <w:sz w:val="28"/>
          <w:szCs w:val="28"/>
        </w:rPr>
        <w:t>（1）</w:t>
      </w:r>
      <w:r>
        <w:rPr>
          <w:rFonts w:hint="eastAsia" w:asciiTheme="minorEastAsia" w:hAnsiTheme="minorEastAsia"/>
          <w:bCs/>
          <w:kern w:val="0"/>
          <w:sz w:val="28"/>
          <w:szCs w:val="28"/>
        </w:rPr>
        <w:t>液氧站每天巡检六次，液氧罐的安全阀每年检验一次，安全阀的检验应送当地特种承压设备检测检验单位检验，合格后方可安装使用。液氧罐罐体压力不超过检验检测压力，到达安全数值时做排空处理。降低压力，确保罐体正常运行。</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（2）正压、负压每天巡查三次。每天检查主机连接轴、连接位及螺丝是否松动；</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（3）每天检查正压泵及配套设备是否有堵塞现象，设备温度控制在40℃以下；</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（3）每天检查电机运行电流与绝缘电阻是否正常，运行声音是否超出正常噪音；</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（4）正负压泵的机油需保持正常温度，机油应按厂家规定使用时效及时更换；</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（5）正压泵的储气罐需及时排水，负压泵的储污罐需及时排污，同时观察泵轮换使用情况，当泵停止运行应该进行详细检查，确保泵不间断运转；</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（6）每周对干燥设备进行检查清理，观察干燥设备和干燥滤芯是否在正常工作范围内；</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asciiTheme="minorEastAsia" w:hAnsiTheme="minorEastAsia"/>
          <w:bCs/>
          <w:kern w:val="0"/>
          <w:sz w:val="28"/>
          <w:szCs w:val="28"/>
        </w:rPr>
        <w:t>（7）</w:t>
      </w:r>
      <w:r>
        <w:rPr>
          <w:rFonts w:hint="eastAsia" w:cs="宋体" w:asciiTheme="minorEastAsia" w:hAnsiTheme="minorEastAsia"/>
          <w:sz w:val="28"/>
          <w:szCs w:val="28"/>
        </w:rPr>
        <w:t>医用压缩空气机组（正压机组）：储气罐每班检查自动排水一次，并做好记录。每天检查连接轴及螺丝是否松动、机组运行温度是否正常、皮带松紧度是否合适，并做好记录。</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cs="宋体" w:asciiTheme="minorEastAsia" w:hAnsiTheme="minorEastAsia"/>
          <w:sz w:val="28"/>
          <w:szCs w:val="28"/>
        </w:rPr>
        <w:t>（8）医用真空负压吸引机组（负压机组）：每天检查机组是否正常，油温、油色是否正常，运行声音是否超出正常噪音值，并做好记录。定期观察集污罐，如需清理，及时通知主管科室安排专业人员进行清理。</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cs="宋体" w:asciiTheme="minorEastAsia" w:hAnsiTheme="minorEastAsia"/>
          <w:sz w:val="28"/>
          <w:szCs w:val="28"/>
        </w:rPr>
        <w:t>（9）机房每周进行清洁，保持机房内环境卫生，满足医院对机房管理要求，如疫情防控需要，配合进行消毒处理。</w:t>
      </w:r>
    </w:p>
    <w:p>
      <w:pPr>
        <w:tabs>
          <w:tab w:val="left" w:pos="567"/>
        </w:tabs>
        <w:adjustRightInd w:val="0"/>
        <w:snapToGrid w:val="0"/>
        <w:spacing w:line="400" w:lineRule="exact"/>
        <w:ind w:firstLine="560" w:firstLineChars="200"/>
        <w:jc w:val="left"/>
        <w:textAlignment w:val="baseline"/>
        <w:rPr>
          <w:rFonts w:cs="等线" w:asciiTheme="minorEastAsia" w:hAnsiTheme="minorEastAsia"/>
          <w:kern w:val="0"/>
          <w:sz w:val="28"/>
          <w:szCs w:val="28"/>
        </w:rPr>
      </w:pPr>
      <w:r>
        <w:rPr>
          <w:rFonts w:hint="eastAsia" w:cs="宋体" w:asciiTheme="minorEastAsia" w:hAnsiTheme="minorEastAsia"/>
          <w:sz w:val="28"/>
          <w:szCs w:val="28"/>
        </w:rPr>
        <w:t>（10）管道产品及报警：</w:t>
      </w:r>
      <w:r>
        <w:rPr>
          <w:rFonts w:hint="eastAsia" w:asciiTheme="minorEastAsia" w:hAnsiTheme="minorEastAsia"/>
          <w:sz w:val="28"/>
          <w:szCs w:val="28"/>
        </w:rPr>
        <w:t>定期检查管道是否有泄漏，</w:t>
      </w:r>
      <w:r>
        <w:rPr>
          <w:rFonts w:hint="eastAsia" w:cs="宋体" w:asciiTheme="minorEastAsia" w:hAnsiTheme="minorEastAsia"/>
          <w:sz w:val="28"/>
          <w:szCs w:val="28"/>
        </w:rPr>
        <w:t>定期协助甲方测量氧浓度，</w:t>
      </w:r>
      <w:r>
        <w:rPr>
          <w:rFonts w:cs="等线" w:asciiTheme="minorEastAsia" w:hAnsiTheme="minorEastAsia"/>
          <w:kern w:val="0"/>
          <w:sz w:val="28"/>
          <w:szCs w:val="28"/>
        </w:rPr>
        <w:t>检查报警面板及可视范围内的缆线是否有损坏</w:t>
      </w:r>
      <w:r>
        <w:rPr>
          <w:rFonts w:hint="eastAsia" w:cs="等线" w:asciiTheme="minorEastAsia" w:hAnsiTheme="minorEastAsia"/>
          <w:kern w:val="0"/>
          <w:sz w:val="28"/>
          <w:szCs w:val="28"/>
        </w:rPr>
        <w:t>；</w:t>
      </w:r>
      <w:r>
        <w:rPr>
          <w:rFonts w:cs="等线" w:asciiTheme="minorEastAsia" w:hAnsiTheme="minorEastAsia"/>
          <w:kern w:val="0"/>
          <w:sz w:val="28"/>
          <w:szCs w:val="28"/>
        </w:rPr>
        <w:t>检查阀门或区域阀门是否清洁</w:t>
      </w:r>
      <w:r>
        <w:rPr>
          <w:rFonts w:hint="eastAsia" w:cs="等线" w:asciiTheme="minorEastAsia" w:hAnsiTheme="minorEastAsia"/>
          <w:kern w:val="0"/>
          <w:sz w:val="28"/>
          <w:szCs w:val="28"/>
        </w:rPr>
        <w:t>、</w:t>
      </w:r>
      <w:r>
        <w:rPr>
          <w:rFonts w:cs="等线" w:asciiTheme="minorEastAsia" w:hAnsiTheme="minorEastAsia"/>
          <w:kern w:val="0"/>
          <w:sz w:val="28"/>
          <w:szCs w:val="28"/>
        </w:rPr>
        <w:t>标识是否正确</w:t>
      </w:r>
      <w:r>
        <w:rPr>
          <w:rFonts w:hint="eastAsia" w:cs="等线" w:asciiTheme="minorEastAsia" w:hAnsiTheme="minorEastAsia"/>
          <w:kern w:val="0"/>
          <w:sz w:val="28"/>
          <w:szCs w:val="28"/>
        </w:rPr>
        <w:t>。</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cs="等线" w:asciiTheme="minorEastAsia" w:hAnsiTheme="minorEastAsia"/>
          <w:kern w:val="0"/>
          <w:sz w:val="28"/>
          <w:szCs w:val="28"/>
        </w:rPr>
        <w:t>（11）</w:t>
      </w:r>
      <w:r>
        <w:rPr>
          <w:rFonts w:hint="eastAsia" w:cs="宋体" w:asciiTheme="minorEastAsia" w:hAnsiTheme="minorEastAsia"/>
          <w:sz w:val="28"/>
          <w:szCs w:val="28"/>
        </w:rPr>
        <w:t>协助医院检查设备带及组件功能是否完好。</w:t>
      </w:r>
    </w:p>
    <w:p>
      <w:pPr>
        <w:tabs>
          <w:tab w:val="left" w:pos="567"/>
        </w:tabs>
        <w:adjustRightInd w:val="0"/>
        <w:snapToGrid w:val="0"/>
        <w:spacing w:line="400" w:lineRule="exact"/>
        <w:ind w:firstLine="560" w:firstLineChars="200"/>
        <w:jc w:val="left"/>
        <w:textAlignment w:val="baseline"/>
        <w:rPr>
          <w:rFonts w:cs="等线" w:asciiTheme="minorEastAsia" w:hAnsiTheme="minorEastAsia"/>
          <w:kern w:val="0"/>
          <w:sz w:val="28"/>
          <w:szCs w:val="28"/>
        </w:rPr>
      </w:pPr>
      <w:r>
        <w:rPr>
          <w:rFonts w:hint="eastAsia" w:cs="宋体" w:asciiTheme="minorEastAsia" w:hAnsiTheme="minorEastAsia"/>
          <w:sz w:val="28"/>
          <w:szCs w:val="28"/>
        </w:rPr>
        <w:t>（12）协助医院</w:t>
      </w:r>
      <w:r>
        <w:rPr>
          <w:rFonts w:cs="等线" w:asciiTheme="minorEastAsia" w:hAnsiTheme="minorEastAsia"/>
          <w:kern w:val="0"/>
          <w:sz w:val="28"/>
          <w:szCs w:val="28"/>
        </w:rPr>
        <w:t>检查每个气体终端标识是否清晰，如发现标识模糊或损坏</w:t>
      </w:r>
      <w:r>
        <w:rPr>
          <w:rFonts w:hint="eastAsia" w:cs="等线" w:asciiTheme="minorEastAsia" w:hAnsiTheme="minorEastAsia"/>
          <w:kern w:val="0"/>
          <w:sz w:val="28"/>
          <w:szCs w:val="28"/>
        </w:rPr>
        <w:t>，提醒甲方</w:t>
      </w:r>
      <w:r>
        <w:rPr>
          <w:rFonts w:cs="等线" w:asciiTheme="minorEastAsia" w:hAnsiTheme="minorEastAsia"/>
          <w:kern w:val="0"/>
          <w:sz w:val="28"/>
          <w:szCs w:val="28"/>
        </w:rPr>
        <w:t>更换标识</w:t>
      </w:r>
      <w:r>
        <w:rPr>
          <w:rFonts w:hint="eastAsia" w:cs="等线" w:asciiTheme="minorEastAsia" w:hAnsiTheme="minorEastAsia"/>
          <w:kern w:val="0"/>
          <w:sz w:val="28"/>
          <w:szCs w:val="28"/>
        </w:rPr>
        <w:t>、</w:t>
      </w:r>
      <w:r>
        <w:rPr>
          <w:rFonts w:cs="等线" w:asciiTheme="minorEastAsia" w:hAnsiTheme="minorEastAsia"/>
          <w:kern w:val="0"/>
          <w:sz w:val="28"/>
          <w:szCs w:val="28"/>
        </w:rPr>
        <w:t>检查每个气体终端插拔性能</w:t>
      </w:r>
      <w:r>
        <w:rPr>
          <w:rFonts w:hint="eastAsia" w:cs="等线" w:asciiTheme="minorEastAsia" w:hAnsiTheme="minorEastAsia"/>
          <w:kern w:val="0"/>
          <w:sz w:val="28"/>
          <w:szCs w:val="28"/>
        </w:rPr>
        <w:t>、</w:t>
      </w:r>
      <w:r>
        <w:rPr>
          <w:rFonts w:cs="等线" w:asciiTheme="minorEastAsia" w:hAnsiTheme="minorEastAsia"/>
          <w:kern w:val="0"/>
          <w:sz w:val="28"/>
          <w:szCs w:val="28"/>
        </w:rPr>
        <w:t>检查气体终端流量</w:t>
      </w:r>
      <w:r>
        <w:rPr>
          <w:rFonts w:hint="eastAsia" w:cs="等线" w:asciiTheme="minorEastAsia" w:hAnsiTheme="minorEastAsia"/>
          <w:kern w:val="0"/>
          <w:sz w:val="28"/>
          <w:szCs w:val="28"/>
        </w:rPr>
        <w:t>。</w:t>
      </w:r>
    </w:p>
    <w:p>
      <w:pPr>
        <w:tabs>
          <w:tab w:val="left" w:pos="567"/>
        </w:tabs>
        <w:adjustRightInd w:val="0"/>
        <w:snapToGrid w:val="0"/>
        <w:spacing w:line="400" w:lineRule="exact"/>
        <w:ind w:firstLine="560" w:firstLineChars="200"/>
        <w:jc w:val="left"/>
        <w:textAlignment w:val="baseline"/>
        <w:rPr>
          <w:rFonts w:cs="等线" w:asciiTheme="minorEastAsia" w:hAnsiTheme="minorEastAsia"/>
          <w:kern w:val="0"/>
          <w:sz w:val="28"/>
          <w:szCs w:val="28"/>
        </w:rPr>
      </w:pPr>
      <w:r>
        <w:rPr>
          <w:rFonts w:hint="eastAsia" w:cs="等线" w:asciiTheme="minorEastAsia" w:hAnsiTheme="minorEastAsia"/>
          <w:kern w:val="0"/>
          <w:sz w:val="28"/>
          <w:szCs w:val="28"/>
        </w:rPr>
        <w:t>（13）</w:t>
      </w:r>
      <w:r>
        <w:rPr>
          <w:rFonts w:hint="eastAsia" w:cs="宋体" w:asciiTheme="minorEastAsia" w:hAnsiTheme="minorEastAsia"/>
          <w:sz w:val="28"/>
          <w:szCs w:val="28"/>
        </w:rPr>
        <w:t>协助医院</w:t>
      </w:r>
      <w:r>
        <w:rPr>
          <w:rFonts w:cs="等线" w:asciiTheme="minorEastAsia" w:hAnsiTheme="minorEastAsia"/>
          <w:kern w:val="0"/>
          <w:sz w:val="28"/>
          <w:szCs w:val="28"/>
        </w:rPr>
        <w:t>检查吊塔的软管及终端是否有明显泄漏</w:t>
      </w:r>
      <w:r>
        <w:rPr>
          <w:rFonts w:hint="eastAsia" w:cs="等线" w:asciiTheme="minorEastAsia" w:hAnsiTheme="minorEastAsia"/>
          <w:kern w:val="0"/>
          <w:sz w:val="28"/>
          <w:szCs w:val="28"/>
        </w:rPr>
        <w:t>。</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cs="宋体" w:asciiTheme="minorEastAsia" w:hAnsiTheme="minorEastAsia"/>
          <w:sz w:val="28"/>
          <w:szCs w:val="28"/>
        </w:rPr>
        <w:t>3.每月定期把全院医用气体系统运行情况向主管部门汇报。</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cs="宋体" w:asciiTheme="minorEastAsia" w:hAnsiTheme="minorEastAsia"/>
          <w:sz w:val="28"/>
          <w:szCs w:val="28"/>
        </w:rPr>
        <w:t>4.</w:t>
      </w:r>
      <w:r>
        <w:rPr>
          <w:rFonts w:hint="eastAsia" w:asciiTheme="minorEastAsia" w:hAnsiTheme="minorEastAsia"/>
          <w:bCs/>
          <w:kern w:val="0"/>
          <w:sz w:val="28"/>
          <w:szCs w:val="28"/>
        </w:rPr>
        <w:t>各个机组每日巡检分三个时段（早上8:00、下午16:00、晚上00:00），需登记备查。同时负责主机房清洁，环境卫生需达到医院检查标准。</w:t>
      </w:r>
    </w:p>
    <w:p>
      <w:pPr>
        <w:tabs>
          <w:tab w:val="left" w:pos="567"/>
        </w:tabs>
        <w:adjustRightInd w:val="0"/>
        <w:snapToGrid w:val="0"/>
        <w:spacing w:line="400" w:lineRule="exact"/>
        <w:ind w:firstLine="560" w:firstLineChars="200"/>
        <w:jc w:val="left"/>
        <w:textAlignment w:val="baseline"/>
        <w:rPr>
          <w:rFonts w:cs="宋体" w:asciiTheme="minorEastAsia" w:hAnsiTheme="minorEastAsia"/>
          <w:sz w:val="28"/>
          <w:szCs w:val="28"/>
        </w:rPr>
      </w:pPr>
      <w:r>
        <w:rPr>
          <w:rFonts w:hint="eastAsia" w:asciiTheme="minorEastAsia" w:hAnsiTheme="minorEastAsia"/>
          <w:sz w:val="28"/>
          <w:szCs w:val="28"/>
        </w:rPr>
        <w:t>5.系统出现故障需15分钟到达现场处理；</w:t>
      </w:r>
      <w:r>
        <w:rPr>
          <w:rFonts w:hint="eastAsia" w:cs="宋体" w:asciiTheme="minorEastAsia" w:hAnsiTheme="minorEastAsia"/>
          <w:sz w:val="28"/>
          <w:szCs w:val="28"/>
        </w:rPr>
        <w:t>如因设备零配件问题导致的故障则通知厂家派工程师到场处理，特殊情况双方协商解决。</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cs="宋体" w:asciiTheme="minorEastAsia" w:hAnsiTheme="minorEastAsia"/>
          <w:sz w:val="28"/>
          <w:szCs w:val="28"/>
        </w:rPr>
        <w:t>6.</w:t>
      </w:r>
      <w:r>
        <w:rPr>
          <w:rFonts w:hint="eastAsia" w:asciiTheme="minorEastAsia" w:hAnsiTheme="minorEastAsia"/>
          <w:bCs/>
          <w:kern w:val="0"/>
          <w:sz w:val="28"/>
          <w:szCs w:val="28"/>
        </w:rPr>
        <w:t>接收到设备设施，如空压机、负压机、区域气体监控等报警信号，必须在</w:t>
      </w:r>
      <w:r>
        <w:rPr>
          <w:rFonts w:asciiTheme="minorEastAsia" w:hAnsiTheme="minorEastAsia"/>
          <w:bCs/>
          <w:kern w:val="0"/>
          <w:sz w:val="28"/>
          <w:szCs w:val="28"/>
        </w:rPr>
        <w:t>15</w:t>
      </w:r>
      <w:r>
        <w:rPr>
          <w:rFonts w:hint="eastAsia" w:asciiTheme="minorEastAsia" w:hAnsiTheme="minorEastAsia"/>
          <w:bCs/>
          <w:kern w:val="0"/>
          <w:sz w:val="28"/>
          <w:szCs w:val="28"/>
        </w:rPr>
        <w:t>分钟内到达现场处理；30钟内无法处理的情况，应该及时上报医院主管科室。</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7.每次维保需按设备生产厂家规范定期进行，规范规定该更换的零件或耗材必须更换，而且需有使用科室派员现场签证确认，并作为结算依据提交主管科室，每年组织设备生产厂家进行一次设备整体检查，以确保设备的正常运行。</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8.更换的零配件原则上采用原厂原品牌规格产品，如因原厂停产导致零件难以采购，在获得医院书面同意后，可更换其他品牌适合的零配件。</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9.保证长期有5名或以上的维保人员常驻医院，正常上班时间(每天08:00－17:30)有2名或以上维保人员值班，非正常上班时间(每天17:30－01:00；01:00-08:00)保证1名或以上维保人员值班。</w:t>
      </w:r>
    </w:p>
    <w:p>
      <w:pPr>
        <w:tabs>
          <w:tab w:val="left" w:pos="567"/>
        </w:tabs>
        <w:adjustRightInd w:val="0"/>
        <w:snapToGrid w:val="0"/>
        <w:spacing w:line="400" w:lineRule="exact"/>
        <w:ind w:firstLine="560" w:firstLineChars="200"/>
        <w:jc w:val="left"/>
        <w:textAlignment w:val="baseline"/>
        <w:rPr>
          <w:rFonts w:asciiTheme="minorEastAsia" w:hAnsiTheme="minorEastAsia"/>
          <w:bCs/>
          <w:kern w:val="0"/>
          <w:sz w:val="28"/>
          <w:szCs w:val="28"/>
        </w:rPr>
      </w:pPr>
      <w:r>
        <w:rPr>
          <w:rFonts w:hint="eastAsia" w:asciiTheme="minorEastAsia" w:hAnsiTheme="minorEastAsia"/>
          <w:bCs/>
          <w:kern w:val="0"/>
          <w:sz w:val="28"/>
          <w:szCs w:val="28"/>
        </w:rPr>
        <w:t>10.完成各项维修保养内容均需如实做好工作记录，并须交主管科室签证的，应当如期交至主管科室签证。以上工作记录及签证记录将作为运营维保服务供应商向医院请求付款的结算依据及凭证，按月结算维保费用。</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11.更换项目中所需要单件价格在500元以下(含500元) 的物品由供应商免费提供、安装并保证质量。</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12.500元</w:t>
      </w:r>
      <w:r>
        <w:rPr>
          <w:rFonts w:asciiTheme="minorEastAsia" w:hAnsiTheme="minorEastAsia"/>
          <w:sz w:val="28"/>
          <w:szCs w:val="28"/>
        </w:rPr>
        <w:t>以下的配件清单为</w:t>
      </w:r>
      <w:r>
        <w:rPr>
          <w:rFonts w:hint="eastAsia" w:asciiTheme="minorEastAsia" w:hAnsiTheme="minorEastAsia"/>
          <w:sz w:val="28"/>
          <w:szCs w:val="28"/>
        </w:rPr>
        <w:t>：</w:t>
      </w:r>
      <w:r>
        <w:rPr>
          <w:rFonts w:asciiTheme="minorEastAsia" w:hAnsiTheme="minorEastAsia"/>
          <w:sz w:val="28"/>
          <w:szCs w:val="28"/>
        </w:rPr>
        <w:t>DN25以下阀门，排气胶管，DN20以下电磁阀，pvc排水管，油漆，水龙头，机组配电柜电器（接触器，漏电开关，中间继电器，接线端子）</w:t>
      </w:r>
      <w:r>
        <w:rPr>
          <w:rFonts w:hint="eastAsia" w:asciiTheme="minorEastAsia" w:hAnsiTheme="minorEastAsia"/>
          <w:sz w:val="28"/>
          <w:szCs w:val="28"/>
        </w:rPr>
        <w:t>。</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13.更换项目中所需要单件价格在500元以上的物品，供应商需向医院主管部门提出合理证明文件并向医院提供优惠报价经审批同意后，供应商再进行更换，并对所更换的物品提供一年的免费质保期，物品的材料费用由甲方支付，或者甲方有权自行购买，由供应商免费更换。另空气压缩机、储气罐、空气干燥机、真空泵、负压罐、负压控制柜在无法维修需整机更换时由甲方支付。</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14.每周一次初级维保，每月一次中级维保，每半年一次全面维保。每次维保需按设备生产厂家规范定期进行，每年组织设备生产厂家进行一次设备整体检查，以确保设备的正常运行。</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15. 协助医院完成全部设备的压力表、安全阀和储气罐等配件的更换及年检送审（含立式低温液氧贮槽、紧急备用氧气汇流排、氮气汇流排、二氧化碳汇流排、医用正负压机等需要年检的配套设备）（检测费用由医院承担）。</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16.</w:t>
      </w:r>
      <w:r>
        <w:rPr>
          <w:rFonts w:asciiTheme="minorEastAsia" w:hAnsiTheme="minorEastAsia"/>
          <w:sz w:val="28"/>
          <w:szCs w:val="28"/>
        </w:rPr>
        <w:t xml:space="preserve"> </w:t>
      </w:r>
      <w:r>
        <w:rPr>
          <w:rFonts w:hint="eastAsia" w:asciiTheme="minorEastAsia" w:hAnsiTheme="minorEastAsia"/>
          <w:sz w:val="28"/>
          <w:szCs w:val="28"/>
        </w:rPr>
        <w:t>建立设备台账，记录机组使用时间、维修记录等；</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bookmarkStart w:id="0" w:name="_Toc8655"/>
      <w:r>
        <w:rPr>
          <w:rFonts w:hint="eastAsia" w:asciiTheme="minorEastAsia" w:hAnsiTheme="minorEastAsia"/>
          <w:sz w:val="28"/>
          <w:szCs w:val="28"/>
        </w:rPr>
        <w:t>17.完善医院医用气体系统各种设备布局情况</w:t>
      </w:r>
      <w:r>
        <w:rPr>
          <w:rFonts w:asciiTheme="minorEastAsia" w:hAnsiTheme="minorEastAsia"/>
          <w:sz w:val="28"/>
          <w:szCs w:val="28"/>
        </w:rPr>
        <w:t>(</w:t>
      </w:r>
      <w:r>
        <w:rPr>
          <w:rFonts w:hint="eastAsia" w:asciiTheme="minorEastAsia" w:hAnsiTheme="minorEastAsia"/>
          <w:sz w:val="28"/>
          <w:szCs w:val="28"/>
        </w:rPr>
        <w:t>画图</w:t>
      </w:r>
      <w:r>
        <w:rPr>
          <w:rFonts w:asciiTheme="minorEastAsia" w:hAnsiTheme="minorEastAsia"/>
          <w:sz w:val="28"/>
          <w:szCs w:val="28"/>
        </w:rPr>
        <w:t>)</w:t>
      </w:r>
      <w:r>
        <w:rPr>
          <w:rFonts w:hint="eastAsia" w:asciiTheme="minorEastAsia" w:hAnsiTheme="minorEastAsia"/>
          <w:sz w:val="28"/>
          <w:szCs w:val="28"/>
        </w:rPr>
        <w:t>；</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18.</w:t>
      </w:r>
      <w:r>
        <w:rPr>
          <w:rFonts w:asciiTheme="minorEastAsia" w:hAnsiTheme="minorEastAsia"/>
          <w:sz w:val="28"/>
          <w:szCs w:val="28"/>
        </w:rPr>
        <w:t xml:space="preserve"> </w:t>
      </w:r>
      <w:r>
        <w:rPr>
          <w:rFonts w:hint="eastAsia" w:asciiTheme="minorEastAsia" w:hAnsiTheme="minorEastAsia"/>
          <w:sz w:val="28"/>
          <w:szCs w:val="28"/>
        </w:rPr>
        <w:t>完善医用气体各部件的标识；</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19.制定医用气体系统评估及解决方案</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20完善医用气体管理的规章制度；</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21.</w:t>
      </w:r>
      <w:r>
        <w:rPr>
          <w:rFonts w:asciiTheme="minorEastAsia" w:hAnsiTheme="minorEastAsia"/>
          <w:sz w:val="28"/>
          <w:szCs w:val="28"/>
        </w:rPr>
        <w:t xml:space="preserve"> </w:t>
      </w:r>
      <w:r>
        <w:rPr>
          <w:rFonts w:hint="eastAsia" w:asciiTheme="minorEastAsia" w:hAnsiTheme="minorEastAsia"/>
          <w:sz w:val="28"/>
          <w:szCs w:val="28"/>
        </w:rPr>
        <w:t>规范医用气体的各种表格；</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22.</w:t>
      </w:r>
      <w:r>
        <w:rPr>
          <w:rFonts w:asciiTheme="minorEastAsia" w:hAnsiTheme="minorEastAsia"/>
          <w:sz w:val="28"/>
          <w:szCs w:val="28"/>
        </w:rPr>
        <w:t xml:space="preserve"> </w:t>
      </w:r>
      <w:r>
        <w:rPr>
          <w:rFonts w:hint="eastAsia" w:asciiTheme="minorEastAsia" w:hAnsiTheme="minorEastAsia"/>
          <w:sz w:val="28"/>
          <w:szCs w:val="28"/>
        </w:rPr>
        <w:t>定期汇报情况（每月一次总体汇报）。</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23.当发生紧急情况时候，需提供紧急维修服务，保证各医气设备使用正常。</w:t>
      </w:r>
    </w:p>
    <w:bookmarkEnd w:id="0"/>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（五）责任与处罚</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1、供应商未按运营维护范围、内容要求完成运维工作而造成医气系统故障影响医疗工作的扣减当月服务费50%，并对由此造成的后果负全责，导致医疗事故的追究供应商有关法律责任并赔偿损失；</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2、因供应商责任造成医气设备故障影响病人使用的扣减当月服务费30%，导致医疗事故的追究投标人有关法律责任并赔偿损失；</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3、接到故障维护电话15分钟内不能到达现场的扣减当月服务费15%；</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4、供应商未按约定执行的，医院有权单方面终止约定，供应商同意医院将其损失金额从服务款中予以抵扣。如果服务款项不足以抵扣赔偿额，医院有权就未能抵扣部分向供应商要求赔偿。</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5、若供应商不履行或不适当履行所规定服务内容，经医院书面通知后两天供应商仍未整改，医院将扣减当月服务费。</w:t>
      </w:r>
    </w:p>
    <w:p>
      <w:pPr>
        <w:tabs>
          <w:tab w:val="left" w:pos="567"/>
        </w:tabs>
        <w:adjustRightInd w:val="0"/>
        <w:snapToGrid w:val="0"/>
        <w:spacing w:line="400" w:lineRule="exact"/>
        <w:ind w:firstLine="480" w:firstLineChars="200"/>
        <w:jc w:val="left"/>
        <w:textAlignment w:val="baseline"/>
        <w:rPr>
          <w:rFonts w:asciiTheme="minorEastAsia" w:hAnsiTheme="minorEastAsia"/>
          <w:sz w:val="28"/>
          <w:szCs w:val="28"/>
        </w:rPr>
      </w:pPr>
      <w:r>
        <w:rPr>
          <w:rFonts w:hint="eastAsia" w:ascii="仿宋" w:hAnsi="仿宋" w:eastAsia="仿宋" w:cs="Times New Roman"/>
          <w:bCs/>
          <w:kern w:val="0"/>
          <w:sz w:val="24"/>
          <w:szCs w:val="24"/>
        </w:rPr>
        <w:t>（</w:t>
      </w:r>
      <w:r>
        <w:rPr>
          <w:rFonts w:hint="eastAsia" w:asciiTheme="minorEastAsia" w:hAnsiTheme="minorEastAsia"/>
          <w:sz w:val="28"/>
          <w:szCs w:val="28"/>
        </w:rPr>
        <w:t>六）其他</w:t>
      </w:r>
    </w:p>
    <w:p>
      <w:pPr>
        <w:tabs>
          <w:tab w:val="left" w:pos="567"/>
        </w:tabs>
        <w:adjustRightInd w:val="0"/>
        <w:snapToGrid w:val="0"/>
        <w:spacing w:line="400" w:lineRule="exact"/>
        <w:ind w:firstLine="560" w:firstLineChars="200"/>
        <w:jc w:val="left"/>
        <w:textAlignment w:val="baseline"/>
        <w:rPr>
          <w:rFonts w:asciiTheme="minorEastAsia" w:hAnsiTheme="minorEastAsia"/>
          <w:sz w:val="28"/>
          <w:szCs w:val="28"/>
        </w:rPr>
      </w:pPr>
      <w:r>
        <w:rPr>
          <w:rFonts w:hint="eastAsia" w:asciiTheme="minorEastAsia" w:hAnsiTheme="minorEastAsia"/>
          <w:sz w:val="28"/>
          <w:szCs w:val="28"/>
        </w:rPr>
        <w:t>采购单价人民币500元以下(含500元)的国产优质品牌的零配件及辅材（如：捷锐）由供应商承担。除上述外，超出费用的零配件、辅材及相关设备每年需更换的过滤器等均由医院自行承担。另空气压缩机、储气罐、空气干燥机、真空泵、负压罐、负压控制柜在客观情况下经生产厂家核实确实无法维修需整机更换时，由供应商主动报备主管部门，并由医院自行处理。</w:t>
      </w:r>
    </w:p>
    <w:p>
      <w:pPr>
        <w:tabs>
          <w:tab w:val="left" w:pos="567"/>
        </w:tabs>
        <w:adjustRightInd w:val="0"/>
        <w:snapToGrid w:val="0"/>
        <w:spacing w:line="400" w:lineRule="exact"/>
        <w:ind w:firstLine="560" w:firstLineChars="200"/>
        <w:jc w:val="left"/>
        <w:textAlignment w:val="baseline"/>
        <w:rPr>
          <w:rFonts w:asciiTheme="minorEastAsia" w:hAnsiTheme="minorEastAsia"/>
          <w:color w:val="000000"/>
          <w:sz w:val="28"/>
          <w:szCs w:val="28"/>
        </w:rPr>
      </w:pPr>
    </w:p>
    <w:p>
      <w:pPr>
        <w:tabs>
          <w:tab w:val="left" w:pos="567"/>
        </w:tabs>
        <w:adjustRightInd w:val="0"/>
        <w:snapToGrid w:val="0"/>
        <w:spacing w:line="400" w:lineRule="exact"/>
        <w:jc w:val="left"/>
        <w:textAlignment w:val="baseline"/>
        <w:rPr>
          <w:rFonts w:asciiTheme="minorEastAsia" w:hAnsiTheme="minorEastAsia"/>
          <w:color w:val="000000"/>
          <w:sz w:val="28"/>
          <w:szCs w:val="28"/>
        </w:rPr>
      </w:pPr>
    </w:p>
    <w:p>
      <w:pPr>
        <w:widowControl/>
        <w:jc w:val="left"/>
        <w:rPr>
          <w:b/>
          <w:bCs/>
          <w:sz w:val="28"/>
          <w:szCs w:val="24"/>
        </w:rPr>
      </w:pPr>
    </w:p>
    <w:p>
      <w:pPr>
        <w:widowControl/>
        <w:jc w:val="left"/>
        <w:rPr>
          <w:b/>
          <w:bCs/>
          <w:sz w:val="28"/>
          <w:szCs w:val="24"/>
        </w:rPr>
      </w:pPr>
      <w:r>
        <w:rPr>
          <w:rFonts w:hint="eastAsia"/>
          <w:b/>
          <w:bCs/>
          <w:sz w:val="28"/>
          <w:szCs w:val="24"/>
        </w:rPr>
        <w:t>附件2：</w:t>
      </w:r>
    </w:p>
    <w:tbl>
      <w:tblPr>
        <w:tblStyle w:val="7"/>
        <w:tblW w:w="10011" w:type="dxa"/>
        <w:tblInd w:w="10" w:type="dxa"/>
        <w:tblLayout w:type="fixed"/>
        <w:tblCellMar>
          <w:top w:w="0" w:type="dxa"/>
          <w:left w:w="108" w:type="dxa"/>
          <w:bottom w:w="0" w:type="dxa"/>
          <w:right w:w="108" w:type="dxa"/>
        </w:tblCellMar>
      </w:tblPr>
      <w:tblGrid>
        <w:gridCol w:w="10011"/>
      </w:tblGrid>
      <w:tr>
        <w:tblPrEx>
          <w:tblCellMar>
            <w:top w:w="0" w:type="dxa"/>
            <w:left w:w="108" w:type="dxa"/>
            <w:bottom w:w="0" w:type="dxa"/>
            <w:right w:w="108" w:type="dxa"/>
          </w:tblCellMar>
        </w:tblPrEx>
        <w:trPr>
          <w:trHeight w:val="801" w:hRule="atLeast"/>
        </w:trPr>
        <w:tc>
          <w:tcPr>
            <w:tcW w:w="10011" w:type="dxa"/>
            <w:tcBorders>
              <w:top w:val="nil"/>
              <w:left w:val="nil"/>
              <w:bottom w:val="nil"/>
              <w:right w:val="nil"/>
            </w:tcBorders>
            <w:shd w:val="clear" w:color="auto" w:fill="auto"/>
            <w:noWrap/>
            <w:vAlign w:val="center"/>
          </w:tcPr>
          <w:p>
            <w:pPr>
              <w:widowControl/>
              <w:jc w:val="center"/>
              <w:rPr>
                <w:rFonts w:cs="宋体"/>
                <w:b/>
                <w:bCs/>
                <w:kern w:val="0"/>
                <w:sz w:val="32"/>
                <w:szCs w:val="32"/>
              </w:rPr>
            </w:pPr>
            <w:r>
              <w:rPr>
                <w:rFonts w:hint="eastAsia"/>
                <w:b/>
                <w:bCs/>
                <w:sz w:val="28"/>
                <w:szCs w:val="24"/>
              </w:rPr>
              <w:t>医气机房运维服务项目</w:t>
            </w:r>
            <w:r>
              <w:rPr>
                <w:b/>
                <w:bCs/>
                <w:sz w:val="28"/>
                <w:szCs w:val="24"/>
              </w:rPr>
              <w:t>报价</w:t>
            </w:r>
            <w:r>
              <w:rPr>
                <w:rFonts w:hint="eastAsia"/>
                <w:b/>
                <w:bCs/>
                <w:sz w:val="28"/>
                <w:szCs w:val="24"/>
              </w:rPr>
              <w:t>表</w:t>
            </w:r>
          </w:p>
        </w:tc>
      </w:tr>
      <w:tr>
        <w:tblPrEx>
          <w:tblCellMar>
            <w:top w:w="0" w:type="dxa"/>
            <w:left w:w="108" w:type="dxa"/>
            <w:bottom w:w="0" w:type="dxa"/>
            <w:right w:w="108" w:type="dxa"/>
          </w:tblCellMar>
        </w:tblPrEx>
        <w:trPr>
          <w:trHeight w:val="2812" w:hRule="atLeast"/>
        </w:trPr>
        <w:tc>
          <w:tcPr>
            <w:tcW w:w="10011" w:type="dxa"/>
            <w:tcBorders>
              <w:top w:val="nil"/>
              <w:left w:val="nil"/>
              <w:bottom w:val="nil"/>
              <w:right w:val="nil"/>
            </w:tcBorders>
            <w:shd w:val="clear" w:color="auto" w:fill="auto"/>
            <w:noWrap/>
            <w:vAlign w:val="center"/>
          </w:tcPr>
          <w:tbl>
            <w:tblPr>
              <w:tblStyle w:val="7"/>
              <w:tblW w:w="9780" w:type="dxa"/>
              <w:tblInd w:w="5" w:type="dxa"/>
              <w:tblLayout w:type="fixed"/>
              <w:tblCellMar>
                <w:top w:w="0" w:type="dxa"/>
                <w:left w:w="108" w:type="dxa"/>
                <w:bottom w:w="0" w:type="dxa"/>
                <w:right w:w="108" w:type="dxa"/>
              </w:tblCellMar>
            </w:tblPr>
            <w:tblGrid>
              <w:gridCol w:w="1220"/>
              <w:gridCol w:w="1538"/>
              <w:gridCol w:w="1548"/>
              <w:gridCol w:w="1356"/>
              <w:gridCol w:w="1380"/>
              <w:gridCol w:w="2738"/>
            </w:tblGrid>
            <w:tr>
              <w:tblPrEx>
                <w:tblCellMar>
                  <w:top w:w="0" w:type="dxa"/>
                  <w:left w:w="108" w:type="dxa"/>
                  <w:bottom w:w="0" w:type="dxa"/>
                  <w:right w:w="108" w:type="dxa"/>
                </w:tblCellMar>
              </w:tblPrEx>
              <w:trPr>
                <w:trHeight w:val="818"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序号</w:t>
                  </w:r>
                </w:p>
              </w:tc>
              <w:tc>
                <w:tcPr>
                  <w:tcW w:w="15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项目</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用工成本</w:t>
                  </w:r>
                  <w:r>
                    <w:rPr>
                      <w:rFonts w:hint="eastAsia" w:cs="宋体"/>
                      <w:kern w:val="0"/>
                      <w:szCs w:val="24"/>
                    </w:rPr>
                    <w:br w:type="textWrapping"/>
                  </w:r>
                  <w:r>
                    <w:rPr>
                      <w:rFonts w:hint="eastAsia" w:cs="宋体"/>
                      <w:kern w:val="0"/>
                      <w:szCs w:val="24"/>
                    </w:rPr>
                    <w:t>(元/月·人)</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驻场人数</w:t>
                  </w:r>
                  <w:r>
                    <w:rPr>
                      <w:rFonts w:hint="eastAsia" w:cs="宋体"/>
                      <w:kern w:val="0"/>
                      <w:szCs w:val="24"/>
                    </w:rPr>
                    <w:br w:type="textWrapping"/>
                  </w:r>
                  <w:r>
                    <w:rPr>
                      <w:rFonts w:hint="eastAsia" w:cs="宋体"/>
                      <w:kern w:val="0"/>
                      <w:szCs w:val="24"/>
                    </w:rPr>
                    <w:t>(人)</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总价</w:t>
                  </w:r>
                  <w:r>
                    <w:rPr>
                      <w:rFonts w:hint="eastAsia" w:cs="宋体"/>
                      <w:kern w:val="0"/>
                      <w:szCs w:val="24"/>
                    </w:rPr>
                    <w:br w:type="textWrapping"/>
                  </w:r>
                  <w:r>
                    <w:rPr>
                      <w:rFonts w:hint="eastAsia" w:cs="宋体"/>
                      <w:kern w:val="0"/>
                      <w:szCs w:val="24"/>
                    </w:rPr>
                    <w:t>(元/月)</w:t>
                  </w:r>
                </w:p>
              </w:tc>
              <w:tc>
                <w:tcPr>
                  <w:tcW w:w="2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计算说明</w:t>
                  </w:r>
                </w:p>
              </w:tc>
            </w:tr>
            <w:tr>
              <w:tblPrEx>
                <w:tblCellMar>
                  <w:top w:w="0" w:type="dxa"/>
                  <w:left w:w="108" w:type="dxa"/>
                  <w:bottom w:w="0" w:type="dxa"/>
                  <w:right w:w="108" w:type="dxa"/>
                </w:tblCellMar>
              </w:tblPrEx>
              <w:trPr>
                <w:trHeight w:val="994"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1</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维保主管</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2738" w:type="dxa"/>
                  <w:vMerge w:val="restart"/>
                  <w:tcBorders>
                    <w:top w:val="nil"/>
                    <w:left w:val="nil"/>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含工资、正常加班费、节假日加班费、补贴、社保和公积金等</w:t>
                  </w:r>
                </w:p>
              </w:tc>
            </w:tr>
            <w:tr>
              <w:tblPrEx>
                <w:tblCellMar>
                  <w:top w:w="0" w:type="dxa"/>
                  <w:left w:w="108" w:type="dxa"/>
                  <w:bottom w:w="0" w:type="dxa"/>
                  <w:right w:w="108" w:type="dxa"/>
                </w:tblCellMar>
              </w:tblPrEx>
              <w:trPr>
                <w:trHeight w:val="13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2</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驻场维修技术人员</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2738" w:type="dxa"/>
                  <w:vMerge w:val="continue"/>
                  <w:tcBorders>
                    <w:left w:val="nil"/>
                    <w:bottom w:val="single" w:color="auto" w:sz="4" w:space="0"/>
                    <w:right w:val="single" w:color="auto" w:sz="4" w:space="0"/>
                  </w:tcBorders>
                  <w:shd w:val="clear" w:color="auto" w:fill="auto"/>
                  <w:vAlign w:val="center"/>
                </w:tcPr>
                <w:p>
                  <w:pPr>
                    <w:widowControl/>
                    <w:jc w:val="center"/>
                    <w:rPr>
                      <w:rFonts w:cs="宋体"/>
                      <w:kern w:val="0"/>
                      <w:szCs w:val="24"/>
                    </w:rPr>
                  </w:pPr>
                </w:p>
              </w:tc>
            </w:tr>
            <w:tr>
              <w:tblPrEx>
                <w:tblCellMar>
                  <w:top w:w="0" w:type="dxa"/>
                  <w:left w:w="108" w:type="dxa"/>
                  <w:bottom w:w="0" w:type="dxa"/>
                  <w:right w:w="108" w:type="dxa"/>
                </w:tblCellMar>
              </w:tblPrEx>
              <w:trPr>
                <w:trHeight w:val="1152"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3</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其他服务成本</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含500元及以下常用配件费、维保机具购置费等所有非人工成本运作支出</w:t>
                  </w:r>
                </w:p>
              </w:tc>
            </w:tr>
            <w:tr>
              <w:tblPrEx>
                <w:tblCellMar>
                  <w:top w:w="0" w:type="dxa"/>
                  <w:left w:w="108" w:type="dxa"/>
                  <w:bottom w:w="0" w:type="dxa"/>
                  <w:right w:w="108" w:type="dxa"/>
                </w:tblCellMar>
              </w:tblPrEx>
              <w:trPr>
                <w:trHeight w:val="801"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4</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管理费、利润、税金</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r>
            <w:tr>
              <w:tblPrEx>
                <w:tblCellMar>
                  <w:top w:w="0" w:type="dxa"/>
                  <w:left w:w="108" w:type="dxa"/>
                  <w:bottom w:w="0" w:type="dxa"/>
                  <w:right w:w="108" w:type="dxa"/>
                </w:tblCellMar>
              </w:tblPrEx>
              <w:trPr>
                <w:trHeight w:val="801"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5</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合计（每月）</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c>
                <w:tcPr>
                  <w:tcW w:w="1356"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　</w:t>
                  </w:r>
                </w:p>
              </w:tc>
            </w:tr>
            <w:tr>
              <w:tblPrEx>
                <w:tblCellMar>
                  <w:top w:w="0" w:type="dxa"/>
                  <w:left w:w="108" w:type="dxa"/>
                  <w:bottom w:w="0" w:type="dxa"/>
                  <w:right w:w="108" w:type="dxa"/>
                </w:tblCellMar>
              </w:tblPrEx>
              <w:trPr>
                <w:trHeight w:val="801"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6</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r>
                    <w:rPr>
                      <w:rFonts w:hint="eastAsia" w:cs="宋体"/>
                      <w:kern w:val="0"/>
                      <w:szCs w:val="24"/>
                    </w:rPr>
                    <w:t>总计（12个月）</w:t>
                  </w:r>
                </w:p>
              </w:tc>
              <w:tc>
                <w:tcPr>
                  <w:tcW w:w="42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kern w:val="0"/>
                      <w:szCs w:val="24"/>
                    </w:rPr>
                  </w:pPr>
                </w:p>
              </w:tc>
              <w:tc>
                <w:tcPr>
                  <w:tcW w:w="2738" w:type="dxa"/>
                  <w:tcBorders>
                    <w:top w:val="nil"/>
                    <w:left w:val="nil"/>
                    <w:bottom w:val="single" w:color="auto" w:sz="4" w:space="0"/>
                    <w:right w:val="single" w:color="auto" w:sz="4" w:space="0"/>
                  </w:tcBorders>
                  <w:shd w:val="clear" w:color="auto" w:fill="auto"/>
                  <w:vAlign w:val="center"/>
                </w:tcPr>
                <w:p>
                  <w:pPr>
                    <w:widowControl/>
                    <w:jc w:val="center"/>
                    <w:rPr>
                      <w:rFonts w:cs="宋体"/>
                      <w:kern w:val="0"/>
                      <w:szCs w:val="24"/>
                    </w:rPr>
                  </w:pPr>
                </w:p>
              </w:tc>
            </w:tr>
            <w:tr>
              <w:tblPrEx>
                <w:tblCellMar>
                  <w:top w:w="0" w:type="dxa"/>
                  <w:left w:w="108" w:type="dxa"/>
                  <w:bottom w:w="0" w:type="dxa"/>
                  <w:right w:w="108" w:type="dxa"/>
                </w:tblCellMar>
              </w:tblPrEx>
              <w:trPr>
                <w:trHeight w:val="801" w:hRule="atLeast"/>
              </w:trPr>
              <w:tc>
                <w:tcPr>
                  <w:tcW w:w="1220" w:type="dxa"/>
                  <w:tcBorders>
                    <w:top w:val="nil"/>
                    <w:left w:val="single" w:color="auto" w:sz="4" w:space="0"/>
                    <w:bottom w:val="single" w:color="auto" w:sz="4" w:space="0"/>
                    <w:right w:val="single" w:color="auto" w:sz="4" w:space="0"/>
                  </w:tcBorders>
                  <w:vAlign w:val="center"/>
                </w:tcPr>
                <w:p>
                  <w:pPr>
                    <w:widowControl/>
                    <w:rPr>
                      <w:rFonts w:cs="宋体"/>
                      <w:kern w:val="0"/>
                      <w:szCs w:val="24"/>
                    </w:rPr>
                  </w:pPr>
                </w:p>
              </w:tc>
              <w:tc>
                <w:tcPr>
                  <w:tcW w:w="1538"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Cs w:val="24"/>
                    </w:rPr>
                  </w:pPr>
                  <w:r>
                    <w:rPr>
                      <w:rFonts w:hint="eastAsia" w:cs="宋体"/>
                      <w:kern w:val="0"/>
                      <w:szCs w:val="24"/>
                    </w:rPr>
                    <w:t>大写</w:t>
                  </w:r>
                </w:p>
              </w:tc>
              <w:tc>
                <w:tcPr>
                  <w:tcW w:w="7022"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cs="宋体"/>
                      <w:kern w:val="0"/>
                      <w:szCs w:val="24"/>
                    </w:rPr>
                  </w:pPr>
                </w:p>
              </w:tc>
            </w:tr>
          </w:tbl>
          <w:p>
            <w:pPr>
              <w:widowControl/>
              <w:jc w:val="center"/>
              <w:rPr>
                <w:b/>
                <w:bCs/>
                <w:sz w:val="28"/>
                <w:szCs w:val="24"/>
              </w:rPr>
            </w:pPr>
          </w:p>
        </w:tc>
      </w:tr>
    </w:tbl>
    <w:p>
      <w:pPr>
        <w:tabs>
          <w:tab w:val="left" w:pos="567"/>
        </w:tabs>
        <w:adjustRightInd w:val="0"/>
        <w:snapToGrid w:val="0"/>
        <w:spacing w:line="400" w:lineRule="exact"/>
        <w:jc w:val="left"/>
        <w:textAlignment w:val="baseline"/>
        <w:rPr>
          <w:rFonts w:asciiTheme="minorEastAsia" w:hAnsiTheme="minorEastAsia"/>
          <w:color w:val="000000"/>
          <w:sz w:val="28"/>
          <w:szCs w:val="28"/>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0019"/>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IzMTNlNjhhNDViMThlNmNhYTA3YTYwNWE5NTYifQ=="/>
  </w:docVars>
  <w:rsids>
    <w:rsidRoot w:val="00D2733A"/>
    <w:rsid w:val="000913D2"/>
    <w:rsid w:val="000B0EFB"/>
    <w:rsid w:val="000B2790"/>
    <w:rsid w:val="000B5252"/>
    <w:rsid w:val="001217B8"/>
    <w:rsid w:val="001F48FE"/>
    <w:rsid w:val="002440E8"/>
    <w:rsid w:val="002B13DA"/>
    <w:rsid w:val="00382A5E"/>
    <w:rsid w:val="0039362D"/>
    <w:rsid w:val="003957EE"/>
    <w:rsid w:val="004410D4"/>
    <w:rsid w:val="0045362E"/>
    <w:rsid w:val="004636BA"/>
    <w:rsid w:val="004C590C"/>
    <w:rsid w:val="00554805"/>
    <w:rsid w:val="005A1439"/>
    <w:rsid w:val="006B18EE"/>
    <w:rsid w:val="006E074D"/>
    <w:rsid w:val="008410F4"/>
    <w:rsid w:val="008A11F2"/>
    <w:rsid w:val="00900A9B"/>
    <w:rsid w:val="00904B8C"/>
    <w:rsid w:val="009C0964"/>
    <w:rsid w:val="009E333D"/>
    <w:rsid w:val="00A30253"/>
    <w:rsid w:val="00A606EF"/>
    <w:rsid w:val="00AE0D66"/>
    <w:rsid w:val="00AE5F2F"/>
    <w:rsid w:val="00B21FA2"/>
    <w:rsid w:val="00B31ADC"/>
    <w:rsid w:val="00B41276"/>
    <w:rsid w:val="00B96979"/>
    <w:rsid w:val="00BA2774"/>
    <w:rsid w:val="00BA2DED"/>
    <w:rsid w:val="00C20B88"/>
    <w:rsid w:val="00C44AD2"/>
    <w:rsid w:val="00D16181"/>
    <w:rsid w:val="00D2733A"/>
    <w:rsid w:val="00EA092D"/>
    <w:rsid w:val="00ED316A"/>
    <w:rsid w:val="1C3D013A"/>
    <w:rsid w:val="36160F00"/>
    <w:rsid w:val="3FE43E1D"/>
    <w:rsid w:val="4DC64B62"/>
    <w:rsid w:val="5825158A"/>
    <w:rsid w:val="6D8D3F6F"/>
    <w:rsid w:val="70207621"/>
    <w:rsid w:val="757F17FE"/>
    <w:rsid w:val="7E212FF9"/>
    <w:rsid w:val="7FA4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szCs w:val="24"/>
    </w:rPr>
  </w:style>
  <w:style w:type="paragraph" w:styleId="3">
    <w:name w:val="Date"/>
    <w:basedOn w:val="1"/>
    <w:next w:val="1"/>
    <w:link w:val="17"/>
    <w:semiHidden/>
    <w:unhideWhenUsed/>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eastAsia" w:ascii="宋体" w:hAnsi="宋体" w:eastAsia="宋体" w:cs="宋体"/>
      <w:color w:val="000000"/>
      <w:sz w:val="22"/>
      <w:szCs w:val="22"/>
      <w:u w:val="none"/>
    </w:rPr>
  </w:style>
  <w:style w:type="character" w:customStyle="1" w:styleId="11">
    <w:name w:val="font01"/>
    <w:basedOn w:val="9"/>
    <w:qFormat/>
    <w:uiPriority w:val="0"/>
    <w:rPr>
      <w:rFonts w:hint="default" w:ascii="Tahoma" w:hAnsi="Tahoma" w:eastAsia="Tahoma" w:cs="Tahoma"/>
      <w:color w:val="000000"/>
      <w:sz w:val="22"/>
      <w:szCs w:val="22"/>
      <w:u w:val="none"/>
    </w:rPr>
  </w:style>
  <w:style w:type="paragraph" w:styleId="12">
    <w:name w:val="List Paragraph"/>
    <w:basedOn w:val="1"/>
    <w:qFormat/>
    <w:uiPriority w:val="34"/>
    <w:pPr>
      <w:spacing w:line="360" w:lineRule="auto"/>
      <w:ind w:firstLine="420" w:firstLineChars="200"/>
      <w:jc w:val="left"/>
    </w:pPr>
    <w:rPr>
      <w:rFonts w:ascii="宋体" w:hAnsi="宋体" w:eastAsia="宋体" w:cs="Times New Roman"/>
      <w:sz w:val="24"/>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_Style 3"/>
    <w:basedOn w:val="1"/>
    <w:qFormat/>
    <w:uiPriority w:val="0"/>
    <w:pPr>
      <w:ind w:firstLine="420" w:firstLineChars="200"/>
    </w:pPr>
    <w:rPr>
      <w:sz w:val="20"/>
      <w:szCs w:val="24"/>
    </w:rPr>
  </w:style>
  <w:style w:type="character" w:customStyle="1" w:styleId="16">
    <w:name w:val="正文文本 Char"/>
    <w:basedOn w:val="9"/>
    <w:link w:val="2"/>
    <w:qFormat/>
    <w:uiPriority w:val="0"/>
    <w:rPr>
      <w:szCs w:val="24"/>
    </w:rPr>
  </w:style>
  <w:style w:type="character" w:customStyle="1" w:styleId="17">
    <w:name w:val="日期 Char"/>
    <w:basedOn w:val="9"/>
    <w:link w:val="3"/>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5323</Words>
  <Characters>6594</Characters>
  <Lines>62</Lines>
  <Paragraphs>17</Paragraphs>
  <TotalTime>13</TotalTime>
  <ScaleCrop>false</ScaleCrop>
  <LinksUpToDate>false</LinksUpToDate>
  <CharactersWithSpaces>6663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2022-12-19T07:11:00Z</dcterms:created>
  <dc:creator>方灿亮</dc:creator>
  <cp:lastModifiedBy>王鑫</cp:lastModifiedBy>
  <cp:lastPrinted>2022-12-19T07:13:00Z</cp:lastPrinted>
  <dcterms:modified xsi:type="dcterms:W3CDTF">2023-01-11T07:16:27Z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36A418BC2D7A4C52AB4A3ABBE2C3B070</vt:lpwstr>
  </property>
</Properties>
</file>