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312" w:afterLines="100" w:line="360" w:lineRule="auto"/>
        <w:jc w:val="center"/>
        <w:rPr>
          <w:rFonts w:ascii="宋体" w:hAnsi="宋体"/>
          <w:b/>
          <w:sz w:val="44"/>
          <w:szCs w:val="30"/>
        </w:rPr>
      </w:pPr>
      <w:r>
        <w:rPr>
          <w:rFonts w:hint="eastAsia" w:ascii="宋体" w:hAnsi="宋体"/>
          <w:b/>
          <w:sz w:val="44"/>
          <w:szCs w:val="30"/>
        </w:rPr>
        <w:t>“互联网+医疗”基层服务端扩展项目需求</w:t>
      </w:r>
    </w:p>
    <w:p>
      <w:pPr>
        <w:pStyle w:val="4"/>
        <w:numPr>
          <w:ilvl w:val="0"/>
          <w:numId w:val="3"/>
        </w:numPr>
        <w:spacing w:before="0" w:after="0"/>
        <w:rPr>
          <w:rFonts w:ascii="宋体" w:hAnsi="宋体"/>
          <w:sz w:val="32"/>
          <w:szCs w:val="32"/>
        </w:rPr>
      </w:pPr>
      <w:r>
        <w:rPr>
          <w:rFonts w:hint="eastAsia" w:ascii="宋体" w:hAnsi="宋体"/>
          <w:sz w:val="32"/>
          <w:szCs w:val="32"/>
        </w:rPr>
        <w:t>项目名称</w:t>
      </w:r>
    </w:p>
    <w:p>
      <w:pPr>
        <w:spacing w:line="360" w:lineRule="auto"/>
        <w:ind w:left="432"/>
        <w:rPr>
          <w:rFonts w:ascii="宋体" w:hAnsi="宋体"/>
          <w:sz w:val="22"/>
        </w:rPr>
      </w:pPr>
      <w:r>
        <w:rPr>
          <w:rFonts w:hint="eastAsia" w:ascii="宋体" w:hAnsi="宋体"/>
          <w:sz w:val="22"/>
        </w:rPr>
        <w:t>项目名称：“互联网+医疗”基层服务端扩展项目</w:t>
      </w:r>
    </w:p>
    <w:p>
      <w:pPr>
        <w:spacing w:line="360" w:lineRule="auto"/>
        <w:ind w:left="432"/>
        <w:rPr>
          <w:rFonts w:ascii="宋体" w:hAnsi="宋体"/>
          <w:sz w:val="22"/>
        </w:rPr>
      </w:pPr>
    </w:p>
    <w:p>
      <w:pPr>
        <w:pStyle w:val="4"/>
        <w:numPr>
          <w:ilvl w:val="0"/>
          <w:numId w:val="3"/>
        </w:numPr>
        <w:spacing w:before="0" w:after="0"/>
        <w:rPr>
          <w:rFonts w:ascii="宋体" w:hAnsi="宋体"/>
          <w:sz w:val="32"/>
          <w:szCs w:val="32"/>
        </w:rPr>
      </w:pPr>
      <w:r>
        <w:rPr>
          <w:rFonts w:hint="eastAsia" w:ascii="宋体" w:hAnsi="宋体"/>
          <w:sz w:val="32"/>
          <w:szCs w:val="32"/>
          <w:lang w:eastAsia="zh-CN"/>
        </w:rPr>
        <w:t>采购清单</w:t>
      </w:r>
    </w:p>
    <w:tbl>
      <w:tblPr>
        <w:tblStyle w:val="21"/>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851"/>
        <w:gridCol w:w="3402"/>
        <w:gridCol w:w="3969"/>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pPr>
            <w:r>
              <w:rPr>
                <w:rFonts w:hint="eastAsia"/>
              </w:rPr>
              <w:t>类型</w:t>
            </w:r>
          </w:p>
        </w:tc>
        <w:tc>
          <w:tcPr>
            <w:tcW w:w="851" w:type="dxa"/>
          </w:tcPr>
          <w:p>
            <w:pPr>
              <w:jc w:val="center"/>
            </w:pPr>
            <w:r>
              <w:rPr>
                <w:rFonts w:hint="eastAsia"/>
              </w:rPr>
              <w:t>序号</w:t>
            </w:r>
          </w:p>
        </w:tc>
        <w:tc>
          <w:tcPr>
            <w:tcW w:w="3402" w:type="dxa"/>
          </w:tcPr>
          <w:p>
            <w:pPr>
              <w:jc w:val="center"/>
            </w:pPr>
            <w:r>
              <w:rPr>
                <w:rFonts w:hint="eastAsia"/>
              </w:rPr>
              <w:t>名称</w:t>
            </w:r>
          </w:p>
        </w:tc>
        <w:tc>
          <w:tcPr>
            <w:tcW w:w="3969" w:type="dxa"/>
          </w:tcPr>
          <w:p>
            <w:pPr>
              <w:jc w:val="center"/>
            </w:pPr>
            <w:r>
              <w:rPr>
                <w:rFonts w:hint="eastAsia"/>
              </w:rPr>
              <w:t>配置描述</w:t>
            </w:r>
          </w:p>
        </w:tc>
        <w:tc>
          <w:tcPr>
            <w:tcW w:w="850" w:type="dxa"/>
          </w:tcPr>
          <w:p>
            <w:pPr>
              <w:jc w:val="center"/>
            </w:pPr>
            <w:r>
              <w:rPr>
                <w:rFonts w:hint="eastAsia"/>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pPr>
            <w:r>
              <w:rPr>
                <w:rFonts w:hint="eastAsia"/>
              </w:rPr>
              <w:t>软件</w:t>
            </w:r>
          </w:p>
        </w:tc>
        <w:tc>
          <w:tcPr>
            <w:tcW w:w="851" w:type="dxa"/>
          </w:tcPr>
          <w:p>
            <w:pPr>
              <w:jc w:val="center"/>
            </w:pPr>
            <w:r>
              <w:t>1</w:t>
            </w:r>
          </w:p>
        </w:tc>
        <w:tc>
          <w:tcPr>
            <w:tcW w:w="3402" w:type="dxa"/>
          </w:tcPr>
          <w:p>
            <w:pPr>
              <w:jc w:val="left"/>
            </w:pPr>
            <w:r>
              <w:rPr>
                <w:rFonts w:hint="eastAsia" w:ascii="宋体" w:hAnsi="宋体"/>
                <w:sz w:val="22"/>
              </w:rPr>
              <w:t>“互联网+医疗”基层服务端</w:t>
            </w:r>
          </w:p>
        </w:tc>
        <w:tc>
          <w:tcPr>
            <w:tcW w:w="3969" w:type="dxa"/>
          </w:tcPr>
          <w:p>
            <w:pPr>
              <w:jc w:val="left"/>
            </w:pPr>
            <w:r>
              <w:rPr>
                <w:rFonts w:hint="eastAsia"/>
              </w:rPr>
              <w:t>详见3.1</w:t>
            </w:r>
          </w:p>
        </w:tc>
        <w:tc>
          <w:tcPr>
            <w:tcW w:w="850" w:type="dxa"/>
            <w:vAlign w:val="center"/>
          </w:tcPr>
          <w:p>
            <w:pPr>
              <w:jc w:val="center"/>
            </w:pPr>
            <w:r>
              <w:rPr>
                <w:rFonts w:hint="eastAsia"/>
              </w:rPr>
              <w:t>1套</w:t>
            </w:r>
          </w:p>
        </w:tc>
      </w:tr>
    </w:tbl>
    <w:p>
      <w:pPr>
        <w:pStyle w:val="50"/>
        <w:keepNext/>
        <w:keepLines/>
        <w:numPr>
          <w:ilvl w:val="0"/>
          <w:numId w:val="1"/>
        </w:numPr>
        <w:spacing w:line="578" w:lineRule="auto"/>
        <w:ind w:firstLineChars="0"/>
        <w:outlineLvl w:val="0"/>
        <w:rPr>
          <w:rFonts w:ascii="宋体" w:hAnsi="宋体" w:eastAsia="宋体"/>
          <w:b/>
          <w:bCs/>
          <w:vanish/>
          <w:kern w:val="44"/>
          <w:sz w:val="44"/>
          <w:szCs w:val="44"/>
        </w:rPr>
      </w:pPr>
    </w:p>
    <w:p>
      <w:pPr>
        <w:pStyle w:val="50"/>
        <w:keepNext/>
        <w:keepLines/>
        <w:numPr>
          <w:ilvl w:val="0"/>
          <w:numId w:val="1"/>
        </w:numPr>
        <w:spacing w:line="578" w:lineRule="auto"/>
        <w:ind w:firstLineChars="0"/>
        <w:outlineLvl w:val="0"/>
        <w:rPr>
          <w:rFonts w:ascii="宋体" w:hAnsi="宋体" w:eastAsia="宋体"/>
          <w:b/>
          <w:bCs/>
          <w:vanish/>
          <w:kern w:val="44"/>
          <w:sz w:val="44"/>
          <w:szCs w:val="44"/>
        </w:rPr>
      </w:pPr>
    </w:p>
    <w:p>
      <w:pPr>
        <w:pStyle w:val="50"/>
        <w:keepNext/>
        <w:keepLines/>
        <w:numPr>
          <w:ilvl w:val="0"/>
          <w:numId w:val="1"/>
        </w:numPr>
        <w:spacing w:line="578" w:lineRule="auto"/>
        <w:ind w:firstLineChars="0"/>
        <w:outlineLvl w:val="0"/>
        <w:rPr>
          <w:rFonts w:ascii="宋体" w:hAnsi="宋体" w:eastAsia="宋体"/>
          <w:b/>
          <w:bCs/>
          <w:vanish/>
          <w:kern w:val="44"/>
          <w:sz w:val="44"/>
          <w:szCs w:val="44"/>
        </w:rPr>
      </w:pPr>
    </w:p>
    <w:p>
      <w:pPr>
        <w:pStyle w:val="50"/>
        <w:keepNext/>
        <w:keepLines/>
        <w:numPr>
          <w:ilvl w:val="1"/>
          <w:numId w:val="1"/>
        </w:numPr>
        <w:spacing w:line="578" w:lineRule="auto"/>
        <w:ind w:firstLineChars="0"/>
        <w:outlineLvl w:val="0"/>
        <w:rPr>
          <w:rFonts w:ascii="宋体" w:hAnsi="宋体" w:eastAsia="宋体"/>
          <w:b/>
          <w:bCs/>
          <w:vanish/>
          <w:kern w:val="44"/>
          <w:sz w:val="44"/>
          <w:szCs w:val="44"/>
        </w:rPr>
      </w:pPr>
    </w:p>
    <w:p>
      <w:pPr>
        <w:pStyle w:val="4"/>
        <w:numPr>
          <w:ilvl w:val="0"/>
          <w:numId w:val="3"/>
        </w:numPr>
        <w:spacing w:before="0" w:after="0"/>
        <w:rPr>
          <w:rFonts w:ascii="宋体" w:hAnsi="宋体"/>
          <w:sz w:val="32"/>
          <w:szCs w:val="32"/>
        </w:rPr>
      </w:pPr>
      <w:r>
        <w:rPr>
          <w:rFonts w:hint="eastAsia" w:ascii="宋体" w:hAnsi="宋体"/>
          <w:sz w:val="32"/>
          <w:szCs w:val="32"/>
        </w:rPr>
        <w:t>详细功能描述</w:t>
      </w:r>
    </w:p>
    <w:p>
      <w:pPr>
        <w:pStyle w:val="5"/>
        <w:spacing w:before="0" w:after="0"/>
        <w:rPr>
          <w:rFonts w:ascii="宋体" w:hAnsi="宋体" w:eastAsia="宋体"/>
          <w:sz w:val="24"/>
          <w:szCs w:val="24"/>
        </w:rPr>
      </w:pPr>
      <w:bookmarkStart w:id="0" w:name="_6.1.1、大数据服务器"/>
      <w:bookmarkEnd w:id="0"/>
      <w:r>
        <w:rPr>
          <w:rFonts w:ascii="宋体" w:hAnsi="宋体" w:eastAsia="宋体"/>
          <w:sz w:val="24"/>
          <w:szCs w:val="24"/>
        </w:rPr>
        <w:t>3.1</w:t>
      </w:r>
      <w:r>
        <w:rPr>
          <w:rFonts w:hint="eastAsia" w:ascii="宋体" w:hAnsi="宋体" w:eastAsia="宋体"/>
          <w:sz w:val="24"/>
          <w:szCs w:val="24"/>
        </w:rPr>
        <w:t>、“互联网+医疗”基层服务端功能</w:t>
      </w:r>
    </w:p>
    <w:tbl>
      <w:tblPr>
        <w:tblStyle w:val="21"/>
        <w:tblW w:w="5000" w:type="pct"/>
        <w:tblInd w:w="0" w:type="dxa"/>
        <w:tblLayout w:type="autofit"/>
        <w:tblCellMar>
          <w:top w:w="0" w:type="dxa"/>
          <w:left w:w="108" w:type="dxa"/>
          <w:bottom w:w="0" w:type="dxa"/>
          <w:right w:w="108" w:type="dxa"/>
        </w:tblCellMar>
      </w:tblPr>
      <w:tblGrid>
        <w:gridCol w:w="1044"/>
        <w:gridCol w:w="2041"/>
        <w:gridCol w:w="6201"/>
      </w:tblGrid>
      <w:tr>
        <w:tblPrEx>
          <w:tblCellMar>
            <w:top w:w="0" w:type="dxa"/>
            <w:left w:w="108" w:type="dxa"/>
            <w:bottom w:w="0" w:type="dxa"/>
            <w:right w:w="108" w:type="dxa"/>
          </w:tblCellMar>
        </w:tblPrEx>
        <w:trPr>
          <w:trHeight w:val="320" w:hRule="atLeast"/>
        </w:trPr>
        <w:tc>
          <w:tcPr>
            <w:tcW w:w="5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序号</w:t>
            </w:r>
          </w:p>
        </w:tc>
        <w:tc>
          <w:tcPr>
            <w:tcW w:w="109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功能模块</w:t>
            </w:r>
          </w:p>
        </w:tc>
        <w:tc>
          <w:tcPr>
            <w:tcW w:w="333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功能描述</w:t>
            </w:r>
          </w:p>
        </w:tc>
      </w:tr>
      <w:tr>
        <w:tblPrEx>
          <w:tblCellMar>
            <w:top w:w="0" w:type="dxa"/>
            <w:left w:w="108" w:type="dxa"/>
            <w:bottom w:w="0" w:type="dxa"/>
            <w:right w:w="108" w:type="dxa"/>
          </w:tblCellMar>
        </w:tblPrEx>
        <w:trPr>
          <w:trHeight w:val="320" w:hRule="atLeast"/>
        </w:trPr>
        <w:tc>
          <w:tcPr>
            <w:tcW w:w="5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w:t>
            </w:r>
          </w:p>
        </w:tc>
        <w:tc>
          <w:tcPr>
            <w:tcW w:w="1099" w:type="pct"/>
            <w:tcBorders>
              <w:top w:val="single" w:color="auto" w:sz="4" w:space="0"/>
              <w:left w:val="nil"/>
              <w:bottom w:val="single" w:color="auto" w:sz="4" w:space="0"/>
              <w:right w:val="single" w:color="auto" w:sz="4" w:space="0"/>
            </w:tcBorders>
            <w:vAlign w:val="center"/>
          </w:tcPr>
          <w:p>
            <w:pPr>
              <w:pStyle w:val="66"/>
              <w:spacing w:before="156"/>
            </w:pPr>
            <w:r>
              <w:rPr>
                <w:rFonts w:hint="eastAsia" w:ascii="宋体" w:hAnsi="宋体"/>
              </w:rPr>
              <w:t>自助机适配</w:t>
            </w:r>
          </w:p>
        </w:tc>
        <w:tc>
          <w:tcPr>
            <w:tcW w:w="3339" w:type="pct"/>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改造5G互联网医院，实现在自助机上刷身份证就可以看病及打印报告。</w:t>
            </w:r>
          </w:p>
        </w:tc>
      </w:tr>
      <w:tr>
        <w:tblPrEx>
          <w:tblCellMar>
            <w:top w:w="0" w:type="dxa"/>
            <w:left w:w="108" w:type="dxa"/>
            <w:bottom w:w="0" w:type="dxa"/>
            <w:right w:w="108" w:type="dxa"/>
          </w:tblCellMar>
        </w:tblPrEx>
        <w:trPr>
          <w:trHeight w:val="320" w:hRule="atLeast"/>
        </w:trPr>
        <w:tc>
          <w:tcPr>
            <w:tcW w:w="5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2</w:t>
            </w:r>
          </w:p>
        </w:tc>
        <w:tc>
          <w:tcPr>
            <w:tcW w:w="1099" w:type="pct"/>
            <w:tcBorders>
              <w:top w:val="single" w:color="auto" w:sz="4" w:space="0"/>
              <w:left w:val="nil"/>
              <w:bottom w:val="single" w:color="auto" w:sz="4" w:space="0"/>
              <w:right w:val="single" w:color="auto" w:sz="4" w:space="0"/>
            </w:tcBorders>
            <w:vAlign w:val="center"/>
          </w:tcPr>
          <w:p>
            <w:pPr>
              <w:pStyle w:val="66"/>
              <w:spacing w:before="156"/>
              <w:rPr>
                <w:rFonts w:ascii="宋体" w:hAnsi="宋体"/>
              </w:rPr>
            </w:pPr>
            <w:r>
              <w:rPr>
                <w:rFonts w:hint="eastAsia" w:ascii="宋体" w:hAnsi="宋体"/>
              </w:rPr>
              <w:t>报告查询</w:t>
            </w:r>
          </w:p>
        </w:tc>
        <w:tc>
          <w:tcPr>
            <w:tcW w:w="3339" w:type="pct"/>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提供患者的各类检验检查报告自助查询服务功能。</w:t>
            </w:r>
          </w:p>
        </w:tc>
      </w:tr>
      <w:tr>
        <w:tblPrEx>
          <w:tblCellMar>
            <w:top w:w="0" w:type="dxa"/>
            <w:left w:w="108" w:type="dxa"/>
            <w:bottom w:w="0" w:type="dxa"/>
            <w:right w:w="108" w:type="dxa"/>
          </w:tblCellMar>
        </w:tblPrEx>
        <w:trPr>
          <w:trHeight w:val="320" w:hRule="atLeast"/>
        </w:trPr>
        <w:tc>
          <w:tcPr>
            <w:tcW w:w="5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ascii="宋体" w:hAnsi="宋体" w:cs="宋体"/>
                <w:color w:val="000000"/>
                <w:szCs w:val="21"/>
              </w:rPr>
              <w:t>3</w:t>
            </w:r>
          </w:p>
        </w:tc>
        <w:tc>
          <w:tcPr>
            <w:tcW w:w="1099" w:type="pct"/>
            <w:tcBorders>
              <w:top w:val="single" w:color="auto" w:sz="4" w:space="0"/>
              <w:left w:val="nil"/>
              <w:bottom w:val="single" w:color="auto" w:sz="4" w:space="0"/>
              <w:right w:val="single" w:color="auto" w:sz="4" w:space="0"/>
            </w:tcBorders>
            <w:vAlign w:val="center"/>
          </w:tcPr>
          <w:p>
            <w:pPr>
              <w:pStyle w:val="66"/>
              <w:spacing w:before="156"/>
              <w:rPr>
                <w:rFonts w:ascii="宋体" w:hAnsi="宋体"/>
              </w:rPr>
            </w:pPr>
            <w:r>
              <w:rPr>
                <w:rFonts w:hint="eastAsia" w:ascii="宋体" w:hAnsi="宋体"/>
              </w:rPr>
              <w:t>报告打印</w:t>
            </w:r>
          </w:p>
        </w:tc>
        <w:tc>
          <w:tcPr>
            <w:tcW w:w="3339" w:type="pct"/>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对接自助机的打印机功能，实现报告打印。</w:t>
            </w:r>
          </w:p>
        </w:tc>
      </w:tr>
      <w:tr>
        <w:tblPrEx>
          <w:tblCellMar>
            <w:top w:w="0" w:type="dxa"/>
            <w:left w:w="108" w:type="dxa"/>
            <w:bottom w:w="0" w:type="dxa"/>
            <w:right w:w="108" w:type="dxa"/>
          </w:tblCellMar>
        </w:tblPrEx>
        <w:trPr>
          <w:trHeight w:val="320" w:hRule="atLeast"/>
        </w:trPr>
        <w:tc>
          <w:tcPr>
            <w:tcW w:w="5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4</w:t>
            </w:r>
          </w:p>
        </w:tc>
        <w:tc>
          <w:tcPr>
            <w:tcW w:w="1099" w:type="pct"/>
            <w:tcBorders>
              <w:top w:val="single" w:color="auto" w:sz="4" w:space="0"/>
              <w:left w:val="nil"/>
              <w:bottom w:val="single" w:color="auto" w:sz="4" w:space="0"/>
              <w:right w:val="single" w:color="auto" w:sz="4" w:space="0"/>
            </w:tcBorders>
            <w:vAlign w:val="center"/>
          </w:tcPr>
          <w:p>
            <w:pPr>
              <w:pStyle w:val="66"/>
              <w:spacing w:before="156"/>
              <w:rPr>
                <w:rFonts w:ascii="宋体" w:hAnsi="宋体"/>
              </w:rPr>
            </w:pPr>
            <w:r>
              <w:rPr>
                <w:rFonts w:hint="eastAsia" w:ascii="宋体" w:hAnsi="宋体"/>
              </w:rPr>
              <w:t>复诊续方</w:t>
            </w:r>
          </w:p>
        </w:tc>
        <w:tc>
          <w:tcPr>
            <w:tcW w:w="3339" w:type="pct"/>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自助机上可申请首诊在院内的复诊续方服务。</w:t>
            </w:r>
          </w:p>
        </w:tc>
      </w:tr>
      <w:tr>
        <w:tblPrEx>
          <w:tblCellMar>
            <w:top w:w="0" w:type="dxa"/>
            <w:left w:w="108" w:type="dxa"/>
            <w:bottom w:w="0" w:type="dxa"/>
            <w:right w:w="108" w:type="dxa"/>
          </w:tblCellMar>
        </w:tblPrEx>
        <w:trPr>
          <w:trHeight w:val="320" w:hRule="atLeast"/>
        </w:trPr>
        <w:tc>
          <w:tcPr>
            <w:tcW w:w="5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5</w:t>
            </w:r>
          </w:p>
        </w:tc>
        <w:tc>
          <w:tcPr>
            <w:tcW w:w="1099" w:type="pct"/>
            <w:tcBorders>
              <w:top w:val="single" w:color="auto" w:sz="4" w:space="0"/>
              <w:left w:val="nil"/>
              <w:bottom w:val="single" w:color="auto" w:sz="4" w:space="0"/>
              <w:right w:val="single" w:color="auto" w:sz="4" w:space="0"/>
            </w:tcBorders>
            <w:vAlign w:val="center"/>
          </w:tcPr>
          <w:p>
            <w:pPr>
              <w:pStyle w:val="66"/>
              <w:spacing w:before="156"/>
              <w:rPr>
                <w:rFonts w:ascii="宋体" w:hAnsi="宋体"/>
              </w:rPr>
            </w:pPr>
            <w:r>
              <w:rPr>
                <w:rFonts w:hint="eastAsia" w:ascii="宋体" w:hAnsi="宋体"/>
              </w:rPr>
              <w:t>报告解读</w:t>
            </w:r>
          </w:p>
        </w:tc>
        <w:tc>
          <w:tcPr>
            <w:tcW w:w="3339" w:type="pct"/>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根据查询的报告，向医生发起报告解读咨询申请。</w:t>
            </w:r>
          </w:p>
        </w:tc>
      </w:tr>
      <w:tr>
        <w:tblPrEx>
          <w:tblCellMar>
            <w:top w:w="0" w:type="dxa"/>
            <w:left w:w="108" w:type="dxa"/>
            <w:bottom w:w="0" w:type="dxa"/>
            <w:right w:w="108" w:type="dxa"/>
          </w:tblCellMar>
        </w:tblPrEx>
        <w:trPr>
          <w:trHeight w:val="320" w:hRule="atLeast"/>
        </w:trPr>
        <w:tc>
          <w:tcPr>
            <w:tcW w:w="5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6</w:t>
            </w:r>
          </w:p>
        </w:tc>
        <w:tc>
          <w:tcPr>
            <w:tcW w:w="1099" w:type="pct"/>
            <w:tcBorders>
              <w:top w:val="single" w:color="auto" w:sz="4" w:space="0"/>
              <w:left w:val="nil"/>
              <w:bottom w:val="single" w:color="auto" w:sz="4" w:space="0"/>
              <w:right w:val="single" w:color="auto" w:sz="4" w:space="0"/>
            </w:tcBorders>
            <w:vAlign w:val="center"/>
          </w:tcPr>
          <w:p>
            <w:pPr>
              <w:pStyle w:val="66"/>
              <w:spacing w:before="156"/>
              <w:rPr>
                <w:rFonts w:ascii="宋体" w:hAnsi="宋体"/>
              </w:rPr>
            </w:pPr>
            <w:r>
              <w:rPr>
                <w:rFonts w:hint="eastAsia" w:ascii="宋体" w:hAnsi="宋体"/>
              </w:rPr>
              <w:t>医生主页</w:t>
            </w:r>
          </w:p>
        </w:tc>
        <w:tc>
          <w:tcPr>
            <w:tcW w:w="3339" w:type="pct"/>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医生主页展示医生信息。</w:t>
            </w:r>
          </w:p>
        </w:tc>
      </w:tr>
      <w:tr>
        <w:tblPrEx>
          <w:tblCellMar>
            <w:top w:w="0" w:type="dxa"/>
            <w:left w:w="108" w:type="dxa"/>
            <w:bottom w:w="0" w:type="dxa"/>
            <w:right w:w="108" w:type="dxa"/>
          </w:tblCellMar>
        </w:tblPrEx>
        <w:trPr>
          <w:trHeight w:val="320" w:hRule="atLeast"/>
        </w:trPr>
        <w:tc>
          <w:tcPr>
            <w:tcW w:w="5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7</w:t>
            </w:r>
          </w:p>
        </w:tc>
        <w:tc>
          <w:tcPr>
            <w:tcW w:w="1099" w:type="pct"/>
            <w:tcBorders>
              <w:top w:val="single" w:color="auto" w:sz="4" w:space="0"/>
              <w:left w:val="nil"/>
              <w:bottom w:val="single" w:color="auto" w:sz="4" w:space="0"/>
              <w:right w:val="single" w:color="auto" w:sz="4" w:space="0"/>
            </w:tcBorders>
            <w:vAlign w:val="center"/>
          </w:tcPr>
          <w:p>
            <w:pPr>
              <w:pStyle w:val="66"/>
              <w:spacing w:before="156"/>
              <w:rPr>
                <w:rFonts w:ascii="宋体" w:hAnsi="宋体"/>
              </w:rPr>
            </w:pPr>
            <w:r>
              <w:rPr>
                <w:rFonts w:hint="eastAsia" w:ascii="宋体" w:hAnsi="宋体"/>
              </w:rPr>
              <w:t>预约挂号</w:t>
            </w:r>
          </w:p>
        </w:tc>
        <w:tc>
          <w:tcPr>
            <w:tcW w:w="3339" w:type="pct"/>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支持按科室挂号/按医生挂号（分时段预约）。</w:t>
            </w:r>
          </w:p>
        </w:tc>
      </w:tr>
      <w:tr>
        <w:tblPrEx>
          <w:tblCellMar>
            <w:top w:w="0" w:type="dxa"/>
            <w:left w:w="108" w:type="dxa"/>
            <w:bottom w:w="0" w:type="dxa"/>
            <w:right w:w="108" w:type="dxa"/>
          </w:tblCellMar>
        </w:tblPrEx>
        <w:trPr>
          <w:trHeight w:val="320" w:hRule="atLeast"/>
        </w:trPr>
        <w:tc>
          <w:tcPr>
            <w:tcW w:w="5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8</w:t>
            </w:r>
          </w:p>
        </w:tc>
        <w:tc>
          <w:tcPr>
            <w:tcW w:w="1099" w:type="pct"/>
            <w:tcBorders>
              <w:top w:val="single" w:color="auto" w:sz="4" w:space="0"/>
              <w:left w:val="nil"/>
              <w:bottom w:val="single" w:color="auto" w:sz="4" w:space="0"/>
              <w:right w:val="single" w:color="auto" w:sz="4" w:space="0"/>
            </w:tcBorders>
            <w:vAlign w:val="center"/>
          </w:tcPr>
          <w:p>
            <w:pPr>
              <w:pStyle w:val="66"/>
              <w:spacing w:before="156"/>
              <w:rPr>
                <w:rFonts w:ascii="宋体" w:hAnsi="宋体"/>
              </w:rPr>
            </w:pPr>
            <w:r>
              <w:rPr>
                <w:rFonts w:hint="eastAsia" w:ascii="宋体" w:hAnsi="宋体"/>
              </w:rPr>
              <w:t>问诊咨询</w:t>
            </w:r>
          </w:p>
        </w:tc>
        <w:tc>
          <w:tcPr>
            <w:tcW w:w="3339" w:type="pct"/>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提供在线付费咨询服务。</w:t>
            </w:r>
          </w:p>
        </w:tc>
      </w:tr>
      <w:tr>
        <w:tblPrEx>
          <w:tblCellMar>
            <w:top w:w="0" w:type="dxa"/>
            <w:left w:w="108" w:type="dxa"/>
            <w:bottom w:w="0" w:type="dxa"/>
            <w:right w:w="108" w:type="dxa"/>
          </w:tblCellMar>
        </w:tblPrEx>
        <w:trPr>
          <w:trHeight w:val="320" w:hRule="atLeast"/>
        </w:trPr>
        <w:tc>
          <w:tcPr>
            <w:tcW w:w="5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9</w:t>
            </w:r>
          </w:p>
        </w:tc>
        <w:tc>
          <w:tcPr>
            <w:tcW w:w="1099" w:type="pct"/>
            <w:tcBorders>
              <w:top w:val="single" w:color="auto" w:sz="4" w:space="0"/>
              <w:left w:val="nil"/>
              <w:bottom w:val="single" w:color="auto" w:sz="4" w:space="0"/>
              <w:right w:val="single" w:color="auto" w:sz="4" w:space="0"/>
            </w:tcBorders>
            <w:vAlign w:val="center"/>
          </w:tcPr>
          <w:p>
            <w:pPr>
              <w:pStyle w:val="66"/>
              <w:spacing w:before="156"/>
              <w:rPr>
                <w:rFonts w:ascii="宋体" w:hAnsi="宋体"/>
              </w:rPr>
            </w:pPr>
            <w:r>
              <w:rPr>
                <w:rFonts w:hint="eastAsia" w:ascii="宋体" w:hAnsi="宋体"/>
              </w:rPr>
              <w:t>健康讲堂</w:t>
            </w:r>
          </w:p>
        </w:tc>
        <w:tc>
          <w:tcPr>
            <w:tcW w:w="3339" w:type="pct"/>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提供卫生健康知识的健康讲堂。</w:t>
            </w:r>
          </w:p>
        </w:tc>
      </w:tr>
      <w:tr>
        <w:tblPrEx>
          <w:tblCellMar>
            <w:top w:w="0" w:type="dxa"/>
            <w:left w:w="108" w:type="dxa"/>
            <w:bottom w:w="0" w:type="dxa"/>
            <w:right w:w="108" w:type="dxa"/>
          </w:tblCellMar>
        </w:tblPrEx>
        <w:trPr>
          <w:trHeight w:val="320" w:hRule="atLeast"/>
        </w:trPr>
        <w:tc>
          <w:tcPr>
            <w:tcW w:w="5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w:t>
            </w:r>
          </w:p>
        </w:tc>
        <w:tc>
          <w:tcPr>
            <w:tcW w:w="1099" w:type="pct"/>
            <w:tcBorders>
              <w:top w:val="single" w:color="auto" w:sz="4" w:space="0"/>
              <w:left w:val="nil"/>
              <w:bottom w:val="single" w:color="auto" w:sz="4" w:space="0"/>
              <w:right w:val="single" w:color="auto" w:sz="4" w:space="0"/>
            </w:tcBorders>
            <w:vAlign w:val="center"/>
          </w:tcPr>
          <w:p>
            <w:pPr>
              <w:pStyle w:val="66"/>
              <w:spacing w:before="156"/>
              <w:rPr>
                <w:rFonts w:ascii="宋体" w:hAnsi="宋体"/>
              </w:rPr>
            </w:pPr>
            <w:r>
              <w:rPr>
                <w:rFonts w:hint="eastAsia" w:ascii="宋体" w:hAnsi="宋体"/>
              </w:rPr>
              <w:t>体检业务</w:t>
            </w:r>
          </w:p>
        </w:tc>
        <w:tc>
          <w:tcPr>
            <w:tcW w:w="3339" w:type="pct"/>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提供体检预约、体检指南、体检报告查询、体检报告打印、体检报告解读等功能。</w:t>
            </w:r>
          </w:p>
        </w:tc>
      </w:tr>
      <w:tr>
        <w:tblPrEx>
          <w:tblCellMar>
            <w:top w:w="0" w:type="dxa"/>
            <w:left w:w="108" w:type="dxa"/>
            <w:bottom w:w="0" w:type="dxa"/>
            <w:right w:w="108" w:type="dxa"/>
          </w:tblCellMar>
        </w:tblPrEx>
        <w:trPr>
          <w:trHeight w:val="320" w:hRule="atLeast"/>
        </w:trPr>
        <w:tc>
          <w:tcPr>
            <w:tcW w:w="5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w:t>
            </w:r>
          </w:p>
        </w:tc>
        <w:tc>
          <w:tcPr>
            <w:tcW w:w="1099" w:type="pct"/>
            <w:tcBorders>
              <w:top w:val="single" w:color="auto" w:sz="4" w:space="0"/>
              <w:left w:val="nil"/>
              <w:bottom w:val="single" w:color="auto" w:sz="4" w:space="0"/>
              <w:right w:val="single" w:color="auto" w:sz="4" w:space="0"/>
            </w:tcBorders>
            <w:vAlign w:val="center"/>
          </w:tcPr>
          <w:p>
            <w:pPr>
              <w:pStyle w:val="66"/>
              <w:spacing w:before="156"/>
              <w:rPr>
                <w:rFonts w:ascii="宋体" w:hAnsi="宋体"/>
              </w:rPr>
            </w:pPr>
            <w:r>
              <w:rPr>
                <w:rFonts w:hint="eastAsia" w:ascii="宋体" w:hAnsi="宋体"/>
              </w:rPr>
              <w:t>基层医生问诊</w:t>
            </w:r>
          </w:p>
        </w:tc>
        <w:tc>
          <w:tcPr>
            <w:tcW w:w="3339" w:type="pct"/>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提供基层医生问诊服务。</w:t>
            </w:r>
          </w:p>
        </w:tc>
      </w:tr>
      <w:tr>
        <w:tblPrEx>
          <w:tblCellMar>
            <w:top w:w="0" w:type="dxa"/>
            <w:left w:w="108" w:type="dxa"/>
            <w:bottom w:w="0" w:type="dxa"/>
            <w:right w:w="108" w:type="dxa"/>
          </w:tblCellMar>
        </w:tblPrEx>
        <w:trPr>
          <w:trHeight w:val="320" w:hRule="atLeast"/>
        </w:trPr>
        <w:tc>
          <w:tcPr>
            <w:tcW w:w="5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p>
        </w:tc>
        <w:tc>
          <w:tcPr>
            <w:tcW w:w="1099" w:type="pct"/>
            <w:tcBorders>
              <w:top w:val="single" w:color="auto" w:sz="4" w:space="0"/>
              <w:left w:val="nil"/>
              <w:bottom w:val="single" w:color="auto" w:sz="4" w:space="0"/>
              <w:right w:val="single" w:color="auto" w:sz="4" w:space="0"/>
            </w:tcBorders>
            <w:vAlign w:val="center"/>
          </w:tcPr>
          <w:p>
            <w:pPr>
              <w:pStyle w:val="66"/>
              <w:spacing w:before="156"/>
              <w:rPr>
                <w:rFonts w:ascii="宋体" w:hAnsi="宋体"/>
              </w:rPr>
            </w:pPr>
            <w:r>
              <w:rPr>
                <w:rFonts w:hint="eastAsia" w:ascii="宋体" w:hAnsi="宋体"/>
              </w:rPr>
              <w:t>适老化改造</w:t>
            </w:r>
          </w:p>
        </w:tc>
        <w:tc>
          <w:tcPr>
            <w:tcW w:w="3339" w:type="pct"/>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响应适老化的政策要求，“粤智助-省医互联网医院”重点关注农村不会使用电脑或智能手机的老年人。</w:t>
            </w:r>
          </w:p>
        </w:tc>
      </w:tr>
      <w:tr>
        <w:tblPrEx>
          <w:tblCellMar>
            <w:top w:w="0" w:type="dxa"/>
            <w:left w:w="108" w:type="dxa"/>
            <w:bottom w:w="0" w:type="dxa"/>
            <w:right w:w="108" w:type="dxa"/>
          </w:tblCellMar>
        </w:tblPrEx>
        <w:trPr>
          <w:trHeight w:val="320" w:hRule="atLeast"/>
        </w:trPr>
        <w:tc>
          <w:tcPr>
            <w:tcW w:w="5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3</w:t>
            </w:r>
          </w:p>
        </w:tc>
        <w:tc>
          <w:tcPr>
            <w:tcW w:w="1099" w:type="pct"/>
            <w:tcBorders>
              <w:top w:val="single" w:color="auto" w:sz="4" w:space="0"/>
              <w:left w:val="nil"/>
              <w:bottom w:val="single" w:color="auto" w:sz="4" w:space="0"/>
              <w:right w:val="single" w:color="auto" w:sz="4" w:space="0"/>
            </w:tcBorders>
            <w:vAlign w:val="center"/>
          </w:tcPr>
          <w:p>
            <w:pPr>
              <w:pStyle w:val="66"/>
              <w:spacing w:before="156"/>
              <w:rPr>
                <w:rFonts w:ascii="宋体" w:hAnsi="宋体"/>
              </w:rPr>
            </w:pPr>
            <w:r>
              <w:rPr>
                <w:rFonts w:hint="eastAsia" w:ascii="宋体" w:hAnsi="宋体"/>
              </w:rPr>
              <w:t>运营跟踪</w:t>
            </w:r>
          </w:p>
        </w:tc>
        <w:tc>
          <w:tcPr>
            <w:tcW w:w="3339" w:type="pct"/>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互联网医院运营端跟踪。</w:t>
            </w:r>
          </w:p>
        </w:tc>
      </w:tr>
      <w:tr>
        <w:tblPrEx>
          <w:tblCellMar>
            <w:top w:w="0" w:type="dxa"/>
            <w:left w:w="108" w:type="dxa"/>
            <w:bottom w:w="0" w:type="dxa"/>
            <w:right w:w="108" w:type="dxa"/>
          </w:tblCellMar>
        </w:tblPrEx>
        <w:trPr>
          <w:trHeight w:val="320" w:hRule="atLeast"/>
        </w:trPr>
        <w:tc>
          <w:tcPr>
            <w:tcW w:w="5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4</w:t>
            </w:r>
          </w:p>
        </w:tc>
        <w:tc>
          <w:tcPr>
            <w:tcW w:w="1099" w:type="pct"/>
            <w:tcBorders>
              <w:top w:val="single" w:color="auto" w:sz="4" w:space="0"/>
              <w:left w:val="nil"/>
              <w:bottom w:val="single" w:color="auto" w:sz="4" w:space="0"/>
              <w:right w:val="single" w:color="auto" w:sz="4" w:space="0"/>
            </w:tcBorders>
            <w:vAlign w:val="center"/>
          </w:tcPr>
          <w:p>
            <w:pPr>
              <w:pStyle w:val="66"/>
              <w:spacing w:before="156"/>
              <w:rPr>
                <w:rFonts w:ascii="宋体" w:hAnsi="宋体"/>
              </w:rPr>
            </w:pPr>
            <w:r>
              <w:rPr>
                <w:rFonts w:hint="eastAsia" w:ascii="宋体" w:hAnsi="宋体"/>
              </w:rPr>
              <w:t>数据分析</w:t>
            </w:r>
          </w:p>
        </w:tc>
        <w:tc>
          <w:tcPr>
            <w:tcW w:w="3339" w:type="pct"/>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定时统计数据。</w:t>
            </w:r>
          </w:p>
        </w:tc>
      </w:tr>
    </w:tbl>
    <w:p>
      <w:pPr>
        <w:rPr>
          <w:sz w:val="32"/>
          <w:szCs w:val="32"/>
        </w:rPr>
      </w:pPr>
      <w:bookmarkStart w:id="1" w:name="_6.1.2、容器服务器"/>
      <w:bookmarkEnd w:id="1"/>
    </w:p>
    <w:p>
      <w:pPr>
        <w:pStyle w:val="4"/>
        <w:numPr>
          <w:ilvl w:val="0"/>
          <w:numId w:val="3"/>
        </w:numPr>
        <w:spacing w:before="0" w:after="0"/>
        <w:rPr>
          <w:rFonts w:ascii="宋体" w:hAnsi="宋体"/>
          <w:sz w:val="21"/>
          <w:szCs w:val="21"/>
        </w:rPr>
      </w:pPr>
      <w:r>
        <w:rPr>
          <w:rFonts w:hint="eastAsia" w:ascii="宋体" w:hAnsi="宋体"/>
          <w:sz w:val="32"/>
          <w:szCs w:val="32"/>
        </w:rPr>
        <w:t>项目工期</w:t>
      </w:r>
    </w:p>
    <w:p>
      <w:pPr>
        <w:numPr>
          <w:ilvl w:val="0"/>
          <w:numId w:val="4"/>
        </w:numPr>
        <w:tabs>
          <w:tab w:val="left" w:pos="420"/>
          <w:tab w:val="left" w:pos="780"/>
        </w:tabs>
        <w:spacing w:before="156" w:beforeLines="50" w:line="360" w:lineRule="auto"/>
        <w:outlineLvl w:val="0"/>
        <w:rPr>
          <w:rFonts w:ascii="宋体" w:hAnsi="宋体" w:cs="宋体"/>
          <w:szCs w:val="21"/>
        </w:rPr>
      </w:pPr>
      <w:r>
        <w:rPr>
          <w:rFonts w:hint="eastAsia" w:ascii="宋体" w:hAnsi="宋体" w:cs="宋体"/>
          <w:szCs w:val="21"/>
        </w:rPr>
        <w:t>自合同签订日起，须在___</w:t>
      </w:r>
      <w:r>
        <w:rPr>
          <w:rFonts w:ascii="宋体" w:hAnsi="宋体" w:cs="宋体"/>
          <w:szCs w:val="21"/>
          <w:u w:val="single"/>
        </w:rPr>
        <w:t>10</w:t>
      </w:r>
      <w:r>
        <w:rPr>
          <w:rFonts w:hint="eastAsia" w:ascii="宋体" w:hAnsi="宋体" w:cs="宋体"/>
          <w:szCs w:val="21"/>
        </w:rPr>
        <w:t>__个工作日内对《用户需求说明书》进行补充、确认或提出意见。</w:t>
      </w:r>
    </w:p>
    <w:p>
      <w:pPr>
        <w:numPr>
          <w:ilvl w:val="0"/>
          <w:numId w:val="4"/>
        </w:numPr>
        <w:tabs>
          <w:tab w:val="left" w:pos="780"/>
        </w:tabs>
        <w:spacing w:before="156" w:beforeLines="50" w:line="360" w:lineRule="auto"/>
        <w:outlineLvl w:val="0"/>
        <w:rPr>
          <w:rFonts w:ascii="宋体" w:hAnsi="宋体" w:cs="宋体"/>
          <w:szCs w:val="21"/>
        </w:rPr>
      </w:pPr>
      <w:r>
        <w:rPr>
          <w:rFonts w:hint="eastAsia" w:ascii="宋体" w:hAnsi="宋体" w:cs="宋体"/>
          <w:szCs w:val="21"/>
        </w:rPr>
        <w:t>对《用户需求说明书》提出意见后，院方组织进行用户需求调研，根据调研情况提供业务调研记录、现况分析、功能设计及说明，双方共同整理并在</w:t>
      </w:r>
      <w:r>
        <w:rPr>
          <w:rFonts w:hint="eastAsia" w:ascii="宋体" w:hAnsi="宋体" w:cs="宋体"/>
          <w:szCs w:val="21"/>
          <w:u w:val="single"/>
        </w:rPr>
        <w:t xml:space="preserve">  </w:t>
      </w:r>
      <w:r>
        <w:rPr>
          <w:rFonts w:ascii="宋体" w:hAnsi="宋体" w:cs="宋体"/>
          <w:szCs w:val="21"/>
          <w:u w:val="single"/>
        </w:rPr>
        <w:t>10</w:t>
      </w:r>
      <w:r>
        <w:rPr>
          <w:rFonts w:hint="eastAsia" w:ascii="宋体" w:hAnsi="宋体" w:cs="宋体"/>
          <w:szCs w:val="21"/>
          <w:u w:val="single"/>
        </w:rPr>
        <w:t xml:space="preserve">  </w:t>
      </w:r>
      <w:r>
        <w:rPr>
          <w:rFonts w:hint="eastAsia" w:ascii="宋体" w:hAnsi="宋体" w:cs="宋体"/>
          <w:szCs w:val="21"/>
        </w:rPr>
        <w:t>个工作日内确认《需求规格说明书》。</w:t>
      </w:r>
    </w:p>
    <w:p>
      <w:pPr>
        <w:numPr>
          <w:ilvl w:val="0"/>
          <w:numId w:val="4"/>
        </w:numPr>
        <w:tabs>
          <w:tab w:val="left" w:pos="780"/>
        </w:tabs>
        <w:spacing w:before="156" w:beforeLines="50" w:line="360" w:lineRule="auto"/>
        <w:outlineLvl w:val="0"/>
        <w:rPr>
          <w:rFonts w:ascii="宋体" w:hAnsi="宋体" w:cs="宋体"/>
          <w:szCs w:val="21"/>
        </w:rPr>
      </w:pPr>
      <w:r>
        <w:rPr>
          <w:rFonts w:hint="eastAsia" w:ascii="宋体" w:hAnsi="宋体" w:cs="宋体"/>
          <w:szCs w:val="21"/>
        </w:rPr>
        <w:t>须在《需求规格说明书》确认后的___</w:t>
      </w:r>
      <w:r>
        <w:rPr>
          <w:rFonts w:ascii="宋体" w:hAnsi="宋体" w:cs="宋体"/>
          <w:szCs w:val="21"/>
          <w:u w:val="single"/>
        </w:rPr>
        <w:t>120</w:t>
      </w:r>
      <w:r>
        <w:rPr>
          <w:rFonts w:hint="eastAsia" w:ascii="宋体" w:hAnsi="宋体" w:cs="宋体"/>
          <w:szCs w:val="21"/>
        </w:rPr>
        <w:t>__个工作日内完成实施导入和保证系统正常工作。</w:t>
      </w:r>
    </w:p>
    <w:p>
      <w:pPr>
        <w:numPr>
          <w:ilvl w:val="0"/>
          <w:numId w:val="4"/>
        </w:numPr>
        <w:tabs>
          <w:tab w:val="left" w:pos="780"/>
        </w:tabs>
        <w:spacing w:before="156" w:beforeLines="50" w:line="360" w:lineRule="auto"/>
        <w:outlineLvl w:val="0"/>
        <w:rPr>
          <w:rFonts w:ascii="宋体" w:hAnsi="宋体" w:cs="宋体"/>
          <w:szCs w:val="21"/>
        </w:rPr>
      </w:pPr>
      <w:r>
        <w:rPr>
          <w:rFonts w:hint="eastAsia" w:ascii="宋体" w:hAnsi="宋体" w:cs="宋体"/>
          <w:szCs w:val="21"/>
        </w:rPr>
        <w:t>完成软件实施，并根据院方提出的新需求完成修改后，系统运行___</w:t>
      </w:r>
      <w:r>
        <w:rPr>
          <w:rFonts w:ascii="宋体" w:hAnsi="宋体" w:cs="宋体"/>
          <w:szCs w:val="21"/>
        </w:rPr>
        <w:t>1</w:t>
      </w:r>
      <w:r>
        <w:rPr>
          <w:rFonts w:hint="eastAsia" w:ascii="宋体" w:hAnsi="宋体" w:cs="宋体"/>
          <w:szCs w:val="21"/>
        </w:rPr>
        <w:t>__个月以上无软件故障出现，则向院方申请验收。</w:t>
      </w:r>
    </w:p>
    <w:p>
      <w:pPr>
        <w:rPr>
          <w:lang w:val="zh-CN"/>
        </w:rPr>
      </w:pPr>
    </w:p>
    <w:p>
      <w:pPr>
        <w:pStyle w:val="4"/>
        <w:numPr>
          <w:ilvl w:val="0"/>
          <w:numId w:val="3"/>
        </w:numPr>
        <w:spacing w:before="0" w:after="0"/>
        <w:rPr>
          <w:rFonts w:ascii="宋体" w:hAnsi="宋体"/>
          <w:color w:val="FF0000"/>
          <w:sz w:val="32"/>
          <w:szCs w:val="32"/>
        </w:rPr>
      </w:pPr>
      <w:r>
        <w:rPr>
          <w:rFonts w:hint="eastAsia" w:ascii="宋体" w:hAnsi="宋体"/>
          <w:sz w:val="32"/>
          <w:szCs w:val="32"/>
        </w:rPr>
        <w:t>集成技术及实施</w:t>
      </w:r>
      <w:r>
        <w:rPr>
          <w:rFonts w:ascii="宋体" w:hAnsi="宋体"/>
          <w:sz w:val="32"/>
          <w:szCs w:val="32"/>
        </w:rPr>
        <w:t>服务要求</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项目实施</w:t>
      </w:r>
      <w:r>
        <w:rPr>
          <w:rFonts w:ascii="宋体" w:hAnsi="宋体" w:cs="宋体"/>
          <w:szCs w:val="21"/>
        </w:rPr>
        <w:t>期</w:t>
      </w:r>
      <w:r>
        <w:rPr>
          <w:rFonts w:hint="eastAsia" w:ascii="宋体" w:hAnsi="宋体" w:cs="宋体"/>
          <w:szCs w:val="21"/>
        </w:rPr>
        <w:t>内承建商提供7*24小时响应服务。</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在项目实施前，结合院方项目需求，根据《网络安全等级保护制度》自评等保级别。需向医院提交设计方案进行安全评审，保证安全技术措施同步规划，系统建设根据信息系统安全等级保护要求进行建设。</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软件需通过院方信息部门组织的信息系统安全等级定级要求，项目承建商需依据国家最新等级保护标准完成系统功能建设；上线前软件需通过院方信息部门组织的安全测评、漏洞扫描、渗透测试等安全检查，项目承建商根据检测结果对安全漏洞进行整改。</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项目承建商需根据院方的详细需求，提交项目系统的安装、调试及培训实施方案，方案得到院方确认后实施，保证系统按时、正常地投入运行。</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验收由承建商给出具体的验收计划、测试的内容和方法，经院方审核通过后，方可进行验收测试。</w:t>
      </w:r>
    </w:p>
    <w:p/>
    <w:p>
      <w:pPr>
        <w:pStyle w:val="4"/>
        <w:numPr>
          <w:ilvl w:val="0"/>
          <w:numId w:val="3"/>
        </w:numPr>
        <w:spacing w:before="0" w:after="0"/>
        <w:rPr>
          <w:rFonts w:ascii="宋体" w:hAnsi="宋体"/>
          <w:color w:val="FF0000"/>
          <w:sz w:val="32"/>
          <w:szCs w:val="32"/>
        </w:rPr>
      </w:pPr>
      <w:r>
        <w:rPr>
          <w:rFonts w:hint="eastAsia" w:ascii="宋体" w:hAnsi="宋体"/>
          <w:sz w:val="32"/>
          <w:szCs w:val="32"/>
        </w:rPr>
        <w:t>后续维护服务</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软件维护期从合同标的验收合格之日算起，期限为</w:t>
      </w:r>
      <w:r>
        <w:rPr>
          <w:rFonts w:ascii="宋体" w:hAnsi="宋体" w:cs="宋体"/>
          <w:szCs w:val="21"/>
          <w:u w:val="single"/>
        </w:rPr>
        <w:t xml:space="preserve">   12  </w:t>
      </w:r>
      <w:r>
        <w:rPr>
          <w:rFonts w:hint="eastAsia" w:ascii="宋体" w:hAnsi="宋体" w:cs="宋体"/>
          <w:szCs w:val="21"/>
        </w:rPr>
        <w:t>个月。在维护期内，承建商提供技术支持和指导，以及软件的局部改进完善以及故障情况下的现场问题解决。</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维保期内承建商为院方提供维护及服务的部门及固定的专职技术人员。承建商提供7*24小时响应服务。</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在维护期结束前，须由承建商和院方进行一次全面检查，任何缺陷必须由承建商负责修复，在修复之后，承建商应将缺陷原因、修复内容、完成修理及恢复正常的时间和日期等报告给院方，形成项目总结报告。</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超过维护期的，双方另行协商签订维护合同，服务方报价不超过合同软件部分金额的8%。</w:t>
      </w:r>
    </w:p>
    <w:p>
      <w:pPr>
        <w:pStyle w:val="4"/>
        <w:numPr>
          <w:ilvl w:val="0"/>
          <w:numId w:val="3"/>
        </w:numPr>
        <w:spacing w:before="0" w:after="0"/>
        <w:rPr>
          <w:rFonts w:ascii="宋体" w:hAnsi="宋体"/>
          <w:color w:val="FF0000"/>
          <w:sz w:val="32"/>
          <w:szCs w:val="32"/>
          <w:lang w:val="en-US"/>
        </w:rPr>
      </w:pPr>
      <w:r>
        <w:rPr>
          <w:rFonts w:hint="eastAsia" w:ascii="宋体" w:hAnsi="宋体"/>
          <w:sz w:val="32"/>
          <w:szCs w:val="32"/>
        </w:rPr>
        <w:t>合同款支付方式</w:t>
      </w:r>
    </w:p>
    <w:p>
      <w:pPr>
        <w:spacing w:line="360" w:lineRule="auto"/>
        <w:ind w:firstLine="630" w:firstLineChars="300"/>
        <w:rPr>
          <w:rFonts w:ascii="宋体" w:hAnsi="宋体" w:cs="宋体"/>
          <w:szCs w:val="21"/>
        </w:rPr>
      </w:pPr>
      <w:r>
        <w:rPr>
          <w:rFonts w:hint="eastAsia" w:ascii="宋体" w:hAnsi="宋体" w:cs="宋体"/>
          <w:szCs w:val="21"/>
        </w:rPr>
        <w:t>(一)合同签订后，在收到承建商开具相应金额正式发票后，支付合同总金额的30%。</w:t>
      </w:r>
    </w:p>
    <w:p>
      <w:pPr>
        <w:spacing w:line="360" w:lineRule="auto"/>
        <w:ind w:firstLine="630" w:firstLineChars="300"/>
        <w:rPr>
          <w:rFonts w:ascii="宋体" w:hAnsi="宋体" w:cs="宋体"/>
          <w:szCs w:val="21"/>
        </w:rPr>
      </w:pPr>
      <w:r>
        <w:rPr>
          <w:rFonts w:hint="eastAsia" w:ascii="宋体" w:hAnsi="宋体" w:cs="宋体"/>
          <w:szCs w:val="21"/>
        </w:rPr>
        <w:t>(二)软件验收通过后，在收到承建商开具相应金额正式发票后，支付合同总金额的65%。</w:t>
      </w:r>
    </w:p>
    <w:p>
      <w:pPr>
        <w:spacing w:line="360" w:lineRule="auto"/>
        <w:ind w:firstLine="630" w:firstLineChars="300"/>
        <w:rPr>
          <w:rFonts w:ascii="宋体" w:hAnsi="宋体" w:cs="宋体"/>
          <w:szCs w:val="21"/>
        </w:rPr>
      </w:pPr>
      <w:r>
        <w:rPr>
          <w:rFonts w:hint="eastAsia" w:ascii="宋体" w:hAnsi="宋体" w:cs="宋体"/>
          <w:szCs w:val="21"/>
        </w:rPr>
        <w:t>(三)</w:t>
      </w:r>
      <w:bookmarkStart w:id="2" w:name="_GoBack"/>
      <w:bookmarkEnd w:id="2"/>
      <w:r>
        <w:rPr>
          <w:rFonts w:hint="eastAsia" w:ascii="宋体" w:hAnsi="宋体" w:cs="宋体"/>
          <w:szCs w:val="21"/>
        </w:rPr>
        <w:t>维护期结束后，由院方对承建商在服务期内应完成任务进行确认并通过后1个月内，支付最后一笔尾款。</w:t>
      </w:r>
    </w:p>
    <w:p>
      <w:pPr>
        <w:tabs>
          <w:tab w:val="left" w:pos="780"/>
        </w:tabs>
        <w:spacing w:before="156" w:beforeLines="50" w:line="360" w:lineRule="auto"/>
        <w:ind w:firstLine="904" w:firstLineChars="300"/>
        <w:outlineLvl w:val="0"/>
        <w:rPr>
          <w:rFonts w:ascii="宋体" w:hAnsi="宋体" w:cs="宋体"/>
          <w:b/>
          <w:color w:val="FF0000"/>
          <w:sz w:val="30"/>
          <w:szCs w:val="30"/>
        </w:rPr>
      </w:pPr>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rPr>
      <w:t>1</w:t>
    </w:r>
    <w:r>
      <w:rPr>
        <w:caps/>
        <w:color w:val="5B9BD5"/>
      </w:rPr>
      <w:fldChar w:fldCharType="end"/>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152B2"/>
    <w:multiLevelType w:val="multilevel"/>
    <w:tmpl w:val="13E152B2"/>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9015205"/>
    <w:multiLevelType w:val="multilevel"/>
    <w:tmpl w:val="29015205"/>
    <w:lvl w:ilvl="0" w:tentative="0">
      <w:start w:val="1"/>
      <w:numFmt w:val="decimal"/>
      <w:pStyle w:val="4"/>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pStyle w:val="7"/>
      <w:lvlText w:val="5.1.1.%4"/>
      <w:lvlJc w:val="left"/>
      <w:pPr>
        <w:ind w:left="864" w:hanging="864"/>
      </w:pPr>
      <w:rPr>
        <w:rFonts w:hint="eastAsia"/>
      </w:rPr>
    </w:lvl>
    <w:lvl w:ilvl="4" w:tentative="0">
      <w:start w:val="1"/>
      <w:numFmt w:val="decimal"/>
      <w:pStyle w:val="8"/>
      <w:lvlText w:val="5.1.1.1.%5"/>
      <w:lvlJc w:val="left"/>
      <w:pPr>
        <w:ind w:left="2142" w:hanging="1008"/>
      </w:pPr>
      <w:rPr>
        <w:rFonts w:hint="eastAsia"/>
      </w:rPr>
    </w:lvl>
    <w:lvl w:ilvl="5" w:tentative="0">
      <w:start w:val="1"/>
      <w:numFmt w:val="decimal"/>
      <w:pStyle w:val="9"/>
      <w:lvlText w:val="%1.%2.%3.%4.%5.%6"/>
      <w:lvlJc w:val="left"/>
      <w:pPr>
        <w:ind w:left="1152" w:hanging="1152"/>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4" w:hanging="1584"/>
      </w:pPr>
      <w:rPr>
        <w:rFonts w:hint="eastAsia"/>
      </w:rPr>
    </w:lvl>
  </w:abstractNum>
  <w:abstractNum w:abstractNumId="2">
    <w:nsid w:val="3EBB3C91"/>
    <w:multiLevelType w:val="multilevel"/>
    <w:tmpl w:val="3EBB3C91"/>
    <w:lvl w:ilvl="0" w:tentative="0">
      <w:start w:val="1"/>
      <w:numFmt w:val="decimal"/>
      <w:pStyle w:val="59"/>
      <w:lvlText w:val="%1. "/>
      <w:lvlJc w:val="left"/>
      <w:pPr>
        <w:ind w:left="420" w:hanging="420"/>
      </w:pPr>
      <w:rPr>
        <w:rFonts w:hint="default" w:ascii="Times New Roman" w:hAnsi="Times New Roman" w:eastAsia="宋体"/>
        <w:b/>
        <w:i w:val="0"/>
      </w:rPr>
    </w:lvl>
    <w:lvl w:ilvl="1" w:tentative="0">
      <w:start w:val="1"/>
      <w:numFmt w:val="decimal"/>
      <w:pStyle w:val="52"/>
      <w:isLgl/>
      <w:suff w:val="space"/>
      <w:lvlText w:val="%1.%2 "/>
      <w:lvlJc w:val="left"/>
      <w:pPr>
        <w:ind w:left="3913" w:hanging="794"/>
      </w:pPr>
      <w:rPr>
        <w:rFonts w:hint="eastAsia"/>
      </w:rPr>
    </w:lvl>
    <w:lvl w:ilvl="2" w:tentative="0">
      <w:start w:val="1"/>
      <w:numFmt w:val="decimal"/>
      <w:pStyle w:val="58"/>
      <w:isLgl/>
      <w:suff w:val="space"/>
      <w:lvlText w:val="%1.%2.%3 "/>
      <w:lvlJc w:val="left"/>
      <w:pPr>
        <w:ind w:left="907" w:hanging="907"/>
      </w:pPr>
      <w:rPr>
        <w:rFonts w:hint="eastAsia"/>
      </w:rPr>
    </w:lvl>
    <w:lvl w:ilvl="3" w:tentative="0">
      <w:start w:val="1"/>
      <w:numFmt w:val="decimal"/>
      <w:pStyle w:val="57"/>
      <w:isLgl/>
      <w:suff w:val="space"/>
      <w:lvlText w:val="%1.%2.%3.%4 "/>
      <w:lvlJc w:val="left"/>
      <w:pPr>
        <w:ind w:left="1021" w:hanging="1021"/>
      </w:pPr>
      <w:rPr>
        <w:rFonts w:hint="eastAsia"/>
      </w:rPr>
    </w:lvl>
    <w:lvl w:ilvl="4" w:tentative="0">
      <w:start w:val="1"/>
      <w:numFmt w:val="decimal"/>
      <w:pStyle w:val="62"/>
      <w:isLgl/>
      <w:suff w:val="space"/>
      <w:lvlText w:val="%1.%2.%3.%4.%5 "/>
      <w:lvlJc w:val="left"/>
      <w:pPr>
        <w:ind w:left="1134" w:hanging="1134"/>
      </w:pPr>
      <w:rPr>
        <w:rFonts w:hint="eastAsia"/>
      </w:rPr>
    </w:lvl>
    <w:lvl w:ilvl="5" w:tentative="0">
      <w:start w:val="1"/>
      <w:numFmt w:val="decimal"/>
      <w:pStyle w:val="56"/>
      <w:isLgl/>
      <w:suff w:val="space"/>
      <w:lvlText w:val="%1.%2.%3.%4.%5.%6 "/>
      <w:lvlJc w:val="left"/>
      <w:pPr>
        <w:ind w:left="1247" w:hanging="1247"/>
      </w:pPr>
      <w:rPr>
        <w:rFonts w:hint="eastAsia"/>
      </w:rPr>
    </w:lvl>
    <w:lvl w:ilvl="6" w:tentative="0">
      <w:start w:val="1"/>
      <w:numFmt w:val="decimal"/>
      <w:lvlRestart w:val="1"/>
      <w:pStyle w:val="51"/>
      <w:isLgl/>
      <w:suff w:val="space"/>
      <w:lvlText w:val="图 %1.%7 "/>
      <w:lvlJc w:val="left"/>
      <w:pPr>
        <w:ind w:left="0" w:firstLine="0"/>
      </w:pPr>
      <w:rPr>
        <w:rFonts w:hint="eastAsia"/>
      </w:rPr>
    </w:lvl>
    <w:lvl w:ilvl="7" w:tentative="0">
      <w:start w:val="1"/>
      <w:numFmt w:val="decimal"/>
      <w:lvlRestart w:val="1"/>
      <w:pStyle w:val="61"/>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424A4138"/>
    <w:multiLevelType w:val="multilevel"/>
    <w:tmpl w:val="424A4138"/>
    <w:lvl w:ilvl="0" w:tentative="0">
      <w:start w:val="1"/>
      <w:numFmt w:val="chineseCountingThousand"/>
      <w:lvlText w:val="%1."/>
      <w:lvlJc w:val="left"/>
      <w:pPr>
        <w:ind w:left="432" w:hanging="432"/>
      </w:pPr>
      <w:rPr>
        <w:rFonts w:hint="eastAsia"/>
        <w:color w:val="auto"/>
        <w:sz w:val="32"/>
        <w:szCs w:val="32"/>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wYWQ1ODhhZDZkZmEzODgwMWZiOGE2MmFjYWE3ODAifQ=="/>
  </w:docVars>
  <w:rsids>
    <w:rsidRoot w:val="00303343"/>
    <w:rsid w:val="000051D2"/>
    <w:rsid w:val="000079DD"/>
    <w:rsid w:val="00012DCC"/>
    <w:rsid w:val="00016B63"/>
    <w:rsid w:val="00031B86"/>
    <w:rsid w:val="00042DAC"/>
    <w:rsid w:val="0004334E"/>
    <w:rsid w:val="00046B39"/>
    <w:rsid w:val="00054706"/>
    <w:rsid w:val="00066DE7"/>
    <w:rsid w:val="00074EDD"/>
    <w:rsid w:val="000757C1"/>
    <w:rsid w:val="00086AE0"/>
    <w:rsid w:val="0009064D"/>
    <w:rsid w:val="00090A18"/>
    <w:rsid w:val="000B41B7"/>
    <w:rsid w:val="000D5317"/>
    <w:rsid w:val="000E276C"/>
    <w:rsid w:val="00106D68"/>
    <w:rsid w:val="001106CE"/>
    <w:rsid w:val="001107F8"/>
    <w:rsid w:val="001116F6"/>
    <w:rsid w:val="001161EB"/>
    <w:rsid w:val="00121E40"/>
    <w:rsid w:val="0012322D"/>
    <w:rsid w:val="00123CDF"/>
    <w:rsid w:val="00123FCC"/>
    <w:rsid w:val="00135BF9"/>
    <w:rsid w:val="001365DD"/>
    <w:rsid w:val="00136606"/>
    <w:rsid w:val="00140E0C"/>
    <w:rsid w:val="0014437A"/>
    <w:rsid w:val="00153AB3"/>
    <w:rsid w:val="00156B1F"/>
    <w:rsid w:val="00162D29"/>
    <w:rsid w:val="00164878"/>
    <w:rsid w:val="00165091"/>
    <w:rsid w:val="00171903"/>
    <w:rsid w:val="0018200C"/>
    <w:rsid w:val="001833B6"/>
    <w:rsid w:val="00190CD2"/>
    <w:rsid w:val="00194BFE"/>
    <w:rsid w:val="001A22A1"/>
    <w:rsid w:val="001B4850"/>
    <w:rsid w:val="001B7966"/>
    <w:rsid w:val="001B7D79"/>
    <w:rsid w:val="001C23B3"/>
    <w:rsid w:val="001C7BC6"/>
    <w:rsid w:val="001D090A"/>
    <w:rsid w:val="001D4A68"/>
    <w:rsid w:val="001D7749"/>
    <w:rsid w:val="001E3B38"/>
    <w:rsid w:val="00200054"/>
    <w:rsid w:val="002000DE"/>
    <w:rsid w:val="00202EFF"/>
    <w:rsid w:val="0020509F"/>
    <w:rsid w:val="00207A96"/>
    <w:rsid w:val="00214A6F"/>
    <w:rsid w:val="00221F1F"/>
    <w:rsid w:val="00223E47"/>
    <w:rsid w:val="00241D77"/>
    <w:rsid w:val="002509F5"/>
    <w:rsid w:val="002535AA"/>
    <w:rsid w:val="00261CBC"/>
    <w:rsid w:val="00265DE7"/>
    <w:rsid w:val="00270260"/>
    <w:rsid w:val="002722CA"/>
    <w:rsid w:val="002834D3"/>
    <w:rsid w:val="002853BF"/>
    <w:rsid w:val="00292528"/>
    <w:rsid w:val="002A01D6"/>
    <w:rsid w:val="002A4778"/>
    <w:rsid w:val="002C53D1"/>
    <w:rsid w:val="002D6BE1"/>
    <w:rsid w:val="002F31F1"/>
    <w:rsid w:val="003024F8"/>
    <w:rsid w:val="00303343"/>
    <w:rsid w:val="00303CAB"/>
    <w:rsid w:val="003042A2"/>
    <w:rsid w:val="00304636"/>
    <w:rsid w:val="00311322"/>
    <w:rsid w:val="00314487"/>
    <w:rsid w:val="00314A5A"/>
    <w:rsid w:val="00322973"/>
    <w:rsid w:val="003325F0"/>
    <w:rsid w:val="00341038"/>
    <w:rsid w:val="00352E7C"/>
    <w:rsid w:val="00353276"/>
    <w:rsid w:val="00360458"/>
    <w:rsid w:val="00366980"/>
    <w:rsid w:val="00370A5D"/>
    <w:rsid w:val="003802E2"/>
    <w:rsid w:val="00385E95"/>
    <w:rsid w:val="00385FED"/>
    <w:rsid w:val="00397B7E"/>
    <w:rsid w:val="003A7269"/>
    <w:rsid w:val="003C0FB7"/>
    <w:rsid w:val="003C6D81"/>
    <w:rsid w:val="003D0F80"/>
    <w:rsid w:val="003D2595"/>
    <w:rsid w:val="003E7083"/>
    <w:rsid w:val="003F3286"/>
    <w:rsid w:val="003F629F"/>
    <w:rsid w:val="00403938"/>
    <w:rsid w:val="00413DA3"/>
    <w:rsid w:val="00414171"/>
    <w:rsid w:val="0041787F"/>
    <w:rsid w:val="00423450"/>
    <w:rsid w:val="0042702D"/>
    <w:rsid w:val="00435C81"/>
    <w:rsid w:val="0044060A"/>
    <w:rsid w:val="00440F72"/>
    <w:rsid w:val="004565AA"/>
    <w:rsid w:val="00456A2C"/>
    <w:rsid w:val="004630DC"/>
    <w:rsid w:val="00474AE0"/>
    <w:rsid w:val="0047796F"/>
    <w:rsid w:val="00482931"/>
    <w:rsid w:val="00495574"/>
    <w:rsid w:val="004A44FF"/>
    <w:rsid w:val="004C2C5B"/>
    <w:rsid w:val="004E2D8F"/>
    <w:rsid w:val="004E5E61"/>
    <w:rsid w:val="004F1410"/>
    <w:rsid w:val="00500264"/>
    <w:rsid w:val="00510B1E"/>
    <w:rsid w:val="005120A9"/>
    <w:rsid w:val="00517D7C"/>
    <w:rsid w:val="00520646"/>
    <w:rsid w:val="0052176F"/>
    <w:rsid w:val="0052604B"/>
    <w:rsid w:val="0053088D"/>
    <w:rsid w:val="00534BF6"/>
    <w:rsid w:val="00537CDE"/>
    <w:rsid w:val="005409FC"/>
    <w:rsid w:val="005563D3"/>
    <w:rsid w:val="00575F76"/>
    <w:rsid w:val="005766CE"/>
    <w:rsid w:val="00580F0E"/>
    <w:rsid w:val="00591388"/>
    <w:rsid w:val="0059358B"/>
    <w:rsid w:val="005944F9"/>
    <w:rsid w:val="00596428"/>
    <w:rsid w:val="00596CC5"/>
    <w:rsid w:val="005A4D1C"/>
    <w:rsid w:val="005B046D"/>
    <w:rsid w:val="005B33AE"/>
    <w:rsid w:val="005C49D7"/>
    <w:rsid w:val="005C60FB"/>
    <w:rsid w:val="005C7EF5"/>
    <w:rsid w:val="005D1C7F"/>
    <w:rsid w:val="005D2402"/>
    <w:rsid w:val="005D2BF6"/>
    <w:rsid w:val="005D3A60"/>
    <w:rsid w:val="005E7C53"/>
    <w:rsid w:val="005F0356"/>
    <w:rsid w:val="005F73BC"/>
    <w:rsid w:val="00600923"/>
    <w:rsid w:val="006053FC"/>
    <w:rsid w:val="00612F3F"/>
    <w:rsid w:val="00620E68"/>
    <w:rsid w:val="00623637"/>
    <w:rsid w:val="006279C6"/>
    <w:rsid w:val="00644F1D"/>
    <w:rsid w:val="00646B59"/>
    <w:rsid w:val="006604C2"/>
    <w:rsid w:val="006861F5"/>
    <w:rsid w:val="00697FBB"/>
    <w:rsid w:val="006B2085"/>
    <w:rsid w:val="006B21B8"/>
    <w:rsid w:val="006B7B58"/>
    <w:rsid w:val="006C36EB"/>
    <w:rsid w:val="006D4B15"/>
    <w:rsid w:val="006D59F7"/>
    <w:rsid w:val="006E1179"/>
    <w:rsid w:val="006E5E07"/>
    <w:rsid w:val="006F0434"/>
    <w:rsid w:val="00701D12"/>
    <w:rsid w:val="0070239F"/>
    <w:rsid w:val="0072309C"/>
    <w:rsid w:val="0072695B"/>
    <w:rsid w:val="0073291A"/>
    <w:rsid w:val="0074224C"/>
    <w:rsid w:val="00750A70"/>
    <w:rsid w:val="00752912"/>
    <w:rsid w:val="007556BE"/>
    <w:rsid w:val="007621CC"/>
    <w:rsid w:val="0076668A"/>
    <w:rsid w:val="00784C08"/>
    <w:rsid w:val="00785EDF"/>
    <w:rsid w:val="00786A29"/>
    <w:rsid w:val="00795F59"/>
    <w:rsid w:val="007C0A5B"/>
    <w:rsid w:val="007D22AB"/>
    <w:rsid w:val="007E71E6"/>
    <w:rsid w:val="007F5726"/>
    <w:rsid w:val="008168FB"/>
    <w:rsid w:val="00822BA6"/>
    <w:rsid w:val="00832FFB"/>
    <w:rsid w:val="008419E9"/>
    <w:rsid w:val="008548FB"/>
    <w:rsid w:val="008623FD"/>
    <w:rsid w:val="00866774"/>
    <w:rsid w:val="00873B97"/>
    <w:rsid w:val="00875A4E"/>
    <w:rsid w:val="008A62AC"/>
    <w:rsid w:val="008B2206"/>
    <w:rsid w:val="008C255D"/>
    <w:rsid w:val="008D3291"/>
    <w:rsid w:val="008D59AA"/>
    <w:rsid w:val="008E145D"/>
    <w:rsid w:val="008E2B56"/>
    <w:rsid w:val="008E69C8"/>
    <w:rsid w:val="00900232"/>
    <w:rsid w:val="00900BAA"/>
    <w:rsid w:val="00903734"/>
    <w:rsid w:val="00903878"/>
    <w:rsid w:val="00903CF6"/>
    <w:rsid w:val="009052C7"/>
    <w:rsid w:val="00905FFA"/>
    <w:rsid w:val="0092017A"/>
    <w:rsid w:val="00922032"/>
    <w:rsid w:val="00925C23"/>
    <w:rsid w:val="00927E08"/>
    <w:rsid w:val="009303FA"/>
    <w:rsid w:val="00941F0C"/>
    <w:rsid w:val="00943004"/>
    <w:rsid w:val="00966A88"/>
    <w:rsid w:val="00973A47"/>
    <w:rsid w:val="00981ED8"/>
    <w:rsid w:val="009822C7"/>
    <w:rsid w:val="00982AA3"/>
    <w:rsid w:val="009863EF"/>
    <w:rsid w:val="00986A41"/>
    <w:rsid w:val="0098719A"/>
    <w:rsid w:val="00991FF2"/>
    <w:rsid w:val="0099315B"/>
    <w:rsid w:val="00995DD9"/>
    <w:rsid w:val="009B4476"/>
    <w:rsid w:val="009C1F02"/>
    <w:rsid w:val="009C2295"/>
    <w:rsid w:val="009C3783"/>
    <w:rsid w:val="009C4E7E"/>
    <w:rsid w:val="009D6951"/>
    <w:rsid w:val="009D7DD1"/>
    <w:rsid w:val="009E0351"/>
    <w:rsid w:val="009E214B"/>
    <w:rsid w:val="009E53AF"/>
    <w:rsid w:val="009F0270"/>
    <w:rsid w:val="009F61FA"/>
    <w:rsid w:val="00A05796"/>
    <w:rsid w:val="00A13CB0"/>
    <w:rsid w:val="00A14FD8"/>
    <w:rsid w:val="00A22CA1"/>
    <w:rsid w:val="00A4595D"/>
    <w:rsid w:val="00A51146"/>
    <w:rsid w:val="00A61D3A"/>
    <w:rsid w:val="00A66833"/>
    <w:rsid w:val="00A70DCF"/>
    <w:rsid w:val="00A72437"/>
    <w:rsid w:val="00A73FDF"/>
    <w:rsid w:val="00A824B9"/>
    <w:rsid w:val="00A870DD"/>
    <w:rsid w:val="00A96157"/>
    <w:rsid w:val="00A969AF"/>
    <w:rsid w:val="00A9729E"/>
    <w:rsid w:val="00AA1F69"/>
    <w:rsid w:val="00AB348F"/>
    <w:rsid w:val="00AB7D36"/>
    <w:rsid w:val="00AC1390"/>
    <w:rsid w:val="00AC4663"/>
    <w:rsid w:val="00AE1DD2"/>
    <w:rsid w:val="00AE4106"/>
    <w:rsid w:val="00B12138"/>
    <w:rsid w:val="00B17749"/>
    <w:rsid w:val="00B17AE9"/>
    <w:rsid w:val="00B17C05"/>
    <w:rsid w:val="00B20334"/>
    <w:rsid w:val="00B20819"/>
    <w:rsid w:val="00B225B9"/>
    <w:rsid w:val="00B24AB1"/>
    <w:rsid w:val="00B263DB"/>
    <w:rsid w:val="00B36BD9"/>
    <w:rsid w:val="00B41A4C"/>
    <w:rsid w:val="00B43095"/>
    <w:rsid w:val="00B446CA"/>
    <w:rsid w:val="00B5093C"/>
    <w:rsid w:val="00B54356"/>
    <w:rsid w:val="00B55FE5"/>
    <w:rsid w:val="00B62917"/>
    <w:rsid w:val="00B74609"/>
    <w:rsid w:val="00B752B2"/>
    <w:rsid w:val="00B80E39"/>
    <w:rsid w:val="00B824A5"/>
    <w:rsid w:val="00B8588F"/>
    <w:rsid w:val="00B858F1"/>
    <w:rsid w:val="00B8684C"/>
    <w:rsid w:val="00BA5A2D"/>
    <w:rsid w:val="00BA5B8F"/>
    <w:rsid w:val="00BB2B54"/>
    <w:rsid w:val="00BC3CA1"/>
    <w:rsid w:val="00BC49E5"/>
    <w:rsid w:val="00BC6DB1"/>
    <w:rsid w:val="00BD3194"/>
    <w:rsid w:val="00BD5FA8"/>
    <w:rsid w:val="00BE23E5"/>
    <w:rsid w:val="00BE31E6"/>
    <w:rsid w:val="00BF757E"/>
    <w:rsid w:val="00BF7C0E"/>
    <w:rsid w:val="00BF7F5A"/>
    <w:rsid w:val="00C17719"/>
    <w:rsid w:val="00C20730"/>
    <w:rsid w:val="00C2470A"/>
    <w:rsid w:val="00C335D8"/>
    <w:rsid w:val="00C50E12"/>
    <w:rsid w:val="00C54491"/>
    <w:rsid w:val="00C71B43"/>
    <w:rsid w:val="00C74D8F"/>
    <w:rsid w:val="00C751A9"/>
    <w:rsid w:val="00C766DD"/>
    <w:rsid w:val="00C76BDF"/>
    <w:rsid w:val="00C775CE"/>
    <w:rsid w:val="00C8030E"/>
    <w:rsid w:val="00C91697"/>
    <w:rsid w:val="00C92EAA"/>
    <w:rsid w:val="00CA148F"/>
    <w:rsid w:val="00CA29F9"/>
    <w:rsid w:val="00CB6B73"/>
    <w:rsid w:val="00CC218D"/>
    <w:rsid w:val="00CC6334"/>
    <w:rsid w:val="00CC677A"/>
    <w:rsid w:val="00CD008E"/>
    <w:rsid w:val="00CD49B4"/>
    <w:rsid w:val="00CD6EDC"/>
    <w:rsid w:val="00CE2D1F"/>
    <w:rsid w:val="00CF1561"/>
    <w:rsid w:val="00CF1A40"/>
    <w:rsid w:val="00CF36EF"/>
    <w:rsid w:val="00CF4AE2"/>
    <w:rsid w:val="00D1110F"/>
    <w:rsid w:val="00D15B10"/>
    <w:rsid w:val="00D23E20"/>
    <w:rsid w:val="00D30FA6"/>
    <w:rsid w:val="00D32842"/>
    <w:rsid w:val="00D407EB"/>
    <w:rsid w:val="00D454AB"/>
    <w:rsid w:val="00D536AB"/>
    <w:rsid w:val="00D54E0C"/>
    <w:rsid w:val="00D5537A"/>
    <w:rsid w:val="00D71136"/>
    <w:rsid w:val="00D74C80"/>
    <w:rsid w:val="00D77F36"/>
    <w:rsid w:val="00D9057D"/>
    <w:rsid w:val="00DA026E"/>
    <w:rsid w:val="00DA576E"/>
    <w:rsid w:val="00DB0A86"/>
    <w:rsid w:val="00DB57B7"/>
    <w:rsid w:val="00DC33CF"/>
    <w:rsid w:val="00DC3415"/>
    <w:rsid w:val="00DD3DE6"/>
    <w:rsid w:val="00DE4534"/>
    <w:rsid w:val="00DF3D3A"/>
    <w:rsid w:val="00DF4228"/>
    <w:rsid w:val="00E06670"/>
    <w:rsid w:val="00E17266"/>
    <w:rsid w:val="00E47752"/>
    <w:rsid w:val="00E53030"/>
    <w:rsid w:val="00E56652"/>
    <w:rsid w:val="00E62C9E"/>
    <w:rsid w:val="00E63369"/>
    <w:rsid w:val="00E63569"/>
    <w:rsid w:val="00E80756"/>
    <w:rsid w:val="00E81F96"/>
    <w:rsid w:val="00E8302B"/>
    <w:rsid w:val="00E83E34"/>
    <w:rsid w:val="00E847A3"/>
    <w:rsid w:val="00E84F8C"/>
    <w:rsid w:val="00E85360"/>
    <w:rsid w:val="00E85641"/>
    <w:rsid w:val="00E85DA4"/>
    <w:rsid w:val="00E86B42"/>
    <w:rsid w:val="00E95892"/>
    <w:rsid w:val="00E97354"/>
    <w:rsid w:val="00EA6408"/>
    <w:rsid w:val="00EC0483"/>
    <w:rsid w:val="00EC33A4"/>
    <w:rsid w:val="00ED0897"/>
    <w:rsid w:val="00ED73FF"/>
    <w:rsid w:val="00ED7F01"/>
    <w:rsid w:val="00EE4612"/>
    <w:rsid w:val="00EE51DE"/>
    <w:rsid w:val="00EE609F"/>
    <w:rsid w:val="00EF5E01"/>
    <w:rsid w:val="00EF6EC0"/>
    <w:rsid w:val="00F02058"/>
    <w:rsid w:val="00F0343C"/>
    <w:rsid w:val="00F04CE5"/>
    <w:rsid w:val="00F13514"/>
    <w:rsid w:val="00F1360F"/>
    <w:rsid w:val="00F16AA8"/>
    <w:rsid w:val="00F21791"/>
    <w:rsid w:val="00F3226A"/>
    <w:rsid w:val="00F324CF"/>
    <w:rsid w:val="00F33DB0"/>
    <w:rsid w:val="00F45DB8"/>
    <w:rsid w:val="00F54D29"/>
    <w:rsid w:val="00F62BCD"/>
    <w:rsid w:val="00F74B77"/>
    <w:rsid w:val="00F764FE"/>
    <w:rsid w:val="00F80625"/>
    <w:rsid w:val="00F827B6"/>
    <w:rsid w:val="00F92BE5"/>
    <w:rsid w:val="00FA0574"/>
    <w:rsid w:val="00FB0DBE"/>
    <w:rsid w:val="00FB68D3"/>
    <w:rsid w:val="00FC4B75"/>
    <w:rsid w:val="00FE7554"/>
    <w:rsid w:val="00FF17FE"/>
    <w:rsid w:val="11FA4392"/>
    <w:rsid w:val="1AAE17B2"/>
    <w:rsid w:val="293961F5"/>
    <w:rsid w:val="42200080"/>
    <w:rsid w:val="488C513A"/>
    <w:rsid w:val="76685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0"/>
    <w:pPr>
      <w:keepNext/>
      <w:keepLines/>
      <w:numPr>
        <w:ilvl w:val="0"/>
        <w:numId w:val="1"/>
      </w:numPr>
      <w:spacing w:before="340" w:after="330" w:line="578" w:lineRule="auto"/>
      <w:outlineLvl w:val="0"/>
    </w:pPr>
    <w:rPr>
      <w:b/>
      <w:bCs/>
      <w:kern w:val="44"/>
      <w:sz w:val="44"/>
      <w:szCs w:val="44"/>
      <w:lang w:val="zh-CN"/>
    </w:rPr>
  </w:style>
  <w:style w:type="paragraph" w:styleId="5">
    <w:name w:val="heading 2"/>
    <w:basedOn w:val="1"/>
    <w:next w:val="1"/>
    <w:link w:val="27"/>
    <w:qFormat/>
    <w:uiPriority w:val="0"/>
    <w:pPr>
      <w:keepNext/>
      <w:keepLines/>
      <w:spacing w:before="260" w:after="260" w:line="416" w:lineRule="auto"/>
      <w:outlineLvl w:val="1"/>
    </w:pPr>
    <w:rPr>
      <w:rFonts w:ascii="等线 Light" w:hAnsi="等线 Light" w:eastAsia="等线 Light"/>
      <w:b/>
      <w:bCs/>
      <w:sz w:val="32"/>
      <w:szCs w:val="32"/>
      <w:lang w:val="zh-CN"/>
    </w:rPr>
  </w:style>
  <w:style w:type="paragraph" w:styleId="6">
    <w:name w:val="heading 3"/>
    <w:basedOn w:val="1"/>
    <w:next w:val="1"/>
    <w:link w:val="28"/>
    <w:qFormat/>
    <w:uiPriority w:val="0"/>
    <w:pPr>
      <w:keepNext/>
      <w:keepLines/>
      <w:spacing w:before="260" w:after="260" w:line="416" w:lineRule="auto"/>
      <w:outlineLvl w:val="2"/>
    </w:pPr>
    <w:rPr>
      <w:b/>
      <w:bCs/>
      <w:sz w:val="30"/>
      <w:szCs w:val="30"/>
      <w:lang w:val="zh-CN"/>
    </w:rPr>
  </w:style>
  <w:style w:type="paragraph" w:styleId="7">
    <w:name w:val="heading 4"/>
    <w:basedOn w:val="1"/>
    <w:next w:val="1"/>
    <w:link w:val="29"/>
    <w:qFormat/>
    <w:uiPriority w:val="0"/>
    <w:pPr>
      <w:keepNext/>
      <w:keepLines/>
      <w:numPr>
        <w:ilvl w:val="3"/>
        <w:numId w:val="1"/>
      </w:numPr>
      <w:spacing w:before="280" w:after="290" w:line="376" w:lineRule="auto"/>
      <w:outlineLvl w:val="3"/>
    </w:pPr>
    <w:rPr>
      <w:rFonts w:ascii="宋体" w:hAnsi="宋体"/>
      <w:b/>
      <w:bCs/>
      <w:sz w:val="28"/>
      <w:szCs w:val="28"/>
      <w:lang w:val="zh-CN"/>
    </w:rPr>
  </w:style>
  <w:style w:type="paragraph" w:styleId="8">
    <w:name w:val="heading 5"/>
    <w:basedOn w:val="1"/>
    <w:next w:val="1"/>
    <w:link w:val="30"/>
    <w:qFormat/>
    <w:uiPriority w:val="0"/>
    <w:pPr>
      <w:keepNext/>
      <w:keepLines/>
      <w:numPr>
        <w:ilvl w:val="4"/>
        <w:numId w:val="1"/>
      </w:numPr>
      <w:spacing w:before="280" w:after="290" w:line="376" w:lineRule="auto"/>
      <w:outlineLvl w:val="4"/>
    </w:pPr>
    <w:rPr>
      <w:b/>
      <w:bCs/>
      <w:sz w:val="28"/>
      <w:szCs w:val="28"/>
      <w:lang w:val="zh-CN"/>
    </w:rPr>
  </w:style>
  <w:style w:type="paragraph" w:styleId="9">
    <w:name w:val="heading 6"/>
    <w:basedOn w:val="1"/>
    <w:next w:val="1"/>
    <w:link w:val="31"/>
    <w:qFormat/>
    <w:uiPriority w:val="0"/>
    <w:pPr>
      <w:keepNext/>
      <w:keepLines/>
      <w:numPr>
        <w:ilvl w:val="5"/>
        <w:numId w:val="1"/>
      </w:numPr>
      <w:spacing w:before="240" w:after="64" w:line="320" w:lineRule="auto"/>
      <w:outlineLvl w:val="5"/>
    </w:pPr>
    <w:rPr>
      <w:rFonts w:ascii="等线 Light" w:hAnsi="等线 Light" w:eastAsia="等线 Light"/>
      <w:b/>
      <w:bCs/>
      <w:sz w:val="24"/>
      <w:lang w:val="zh-CN"/>
    </w:rPr>
  </w:style>
  <w:style w:type="paragraph" w:styleId="10">
    <w:name w:val="heading 7"/>
    <w:basedOn w:val="1"/>
    <w:next w:val="1"/>
    <w:link w:val="32"/>
    <w:qFormat/>
    <w:uiPriority w:val="0"/>
    <w:pPr>
      <w:keepNext/>
      <w:keepLines/>
      <w:numPr>
        <w:ilvl w:val="6"/>
        <w:numId w:val="1"/>
      </w:numPr>
      <w:spacing w:before="240" w:after="64" w:line="320" w:lineRule="auto"/>
      <w:outlineLvl w:val="6"/>
    </w:pPr>
    <w:rPr>
      <w:b/>
      <w:bCs/>
      <w:sz w:val="24"/>
      <w:lang w:val="zh-CN"/>
    </w:rPr>
  </w:style>
  <w:style w:type="paragraph" w:styleId="11">
    <w:name w:val="heading 8"/>
    <w:basedOn w:val="1"/>
    <w:next w:val="1"/>
    <w:link w:val="33"/>
    <w:qFormat/>
    <w:uiPriority w:val="0"/>
    <w:pPr>
      <w:keepNext/>
      <w:keepLines/>
      <w:numPr>
        <w:ilvl w:val="7"/>
        <w:numId w:val="1"/>
      </w:numPr>
      <w:spacing w:before="240" w:after="64" w:line="320" w:lineRule="auto"/>
      <w:outlineLvl w:val="7"/>
    </w:pPr>
    <w:rPr>
      <w:rFonts w:ascii="等线 Light" w:hAnsi="等线 Light" w:eastAsia="等线 Light"/>
      <w:sz w:val="24"/>
      <w:lang w:val="zh-CN"/>
    </w:rPr>
  </w:style>
  <w:style w:type="paragraph" w:styleId="12">
    <w:name w:val="heading 9"/>
    <w:basedOn w:val="1"/>
    <w:next w:val="1"/>
    <w:link w:val="34"/>
    <w:qFormat/>
    <w:uiPriority w:val="0"/>
    <w:pPr>
      <w:keepNext/>
      <w:keepLines/>
      <w:numPr>
        <w:ilvl w:val="8"/>
        <w:numId w:val="1"/>
      </w:numPr>
      <w:spacing w:before="240" w:after="64" w:line="320" w:lineRule="auto"/>
      <w:outlineLvl w:val="8"/>
    </w:pPr>
    <w:rPr>
      <w:rFonts w:ascii="等线 Light" w:hAnsi="等线 Light" w:eastAsia="等线 Light"/>
      <w:szCs w:val="21"/>
      <w:lang w:val="zh-C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13">
    <w:name w:val="Normal Indent"/>
    <w:basedOn w:val="1"/>
    <w:link w:val="35"/>
    <w:qFormat/>
    <w:uiPriority w:val="99"/>
    <w:pPr>
      <w:spacing w:before="120" w:beforeLines="50" w:line="360" w:lineRule="auto"/>
      <w:ind w:firstLine="512" w:firstLineChars="200"/>
    </w:pPr>
    <w:rPr>
      <w:spacing w:val="8"/>
      <w:sz w:val="24"/>
      <w:szCs w:val="20"/>
    </w:rPr>
  </w:style>
  <w:style w:type="paragraph" w:styleId="14">
    <w:name w:val="annotation text"/>
    <w:basedOn w:val="1"/>
    <w:link w:val="36"/>
    <w:unhideWhenUsed/>
    <w:qFormat/>
    <w:uiPriority w:val="0"/>
    <w:pPr>
      <w:jc w:val="left"/>
    </w:pPr>
    <w:rPr>
      <w:kern w:val="0"/>
      <w:sz w:val="20"/>
      <w:lang w:val="zh-CN"/>
    </w:rPr>
  </w:style>
  <w:style w:type="paragraph" w:styleId="15">
    <w:name w:val="Plain Text"/>
    <w:basedOn w:val="1"/>
    <w:link w:val="37"/>
    <w:qFormat/>
    <w:uiPriority w:val="0"/>
    <w:rPr>
      <w:rFonts w:ascii="Calibri" w:hAnsi="Courier New"/>
      <w:szCs w:val="20"/>
      <w:lang w:val="zh-CN"/>
    </w:rPr>
  </w:style>
  <w:style w:type="paragraph" w:styleId="16">
    <w:name w:val="Balloon Text"/>
    <w:basedOn w:val="1"/>
    <w:link w:val="38"/>
    <w:qFormat/>
    <w:uiPriority w:val="0"/>
    <w:rPr>
      <w:sz w:val="18"/>
      <w:szCs w:val="18"/>
      <w:lang w:val="zh-CN"/>
    </w:rPr>
  </w:style>
  <w:style w:type="paragraph" w:styleId="17">
    <w:name w:val="footer"/>
    <w:basedOn w:val="1"/>
    <w:link w:val="39"/>
    <w:qFormat/>
    <w:uiPriority w:val="0"/>
    <w:pPr>
      <w:tabs>
        <w:tab w:val="center" w:pos="4153"/>
        <w:tab w:val="right" w:pos="8306"/>
      </w:tabs>
      <w:snapToGrid w:val="0"/>
      <w:jc w:val="left"/>
    </w:pPr>
    <w:rPr>
      <w:sz w:val="18"/>
      <w:szCs w:val="18"/>
      <w:lang w:val="zh-CN"/>
    </w:rPr>
  </w:style>
  <w:style w:type="paragraph" w:styleId="18">
    <w:name w:val="header"/>
    <w:basedOn w:val="1"/>
    <w:link w:val="40"/>
    <w:qFormat/>
    <w:uiPriority w:val="0"/>
    <w:pPr>
      <w:pBdr>
        <w:bottom w:val="single" w:color="auto" w:sz="6" w:space="1"/>
      </w:pBdr>
      <w:tabs>
        <w:tab w:val="center" w:pos="4153"/>
        <w:tab w:val="right" w:pos="8306"/>
      </w:tabs>
      <w:snapToGrid w:val="0"/>
      <w:jc w:val="center"/>
    </w:pPr>
    <w:rPr>
      <w:sz w:val="18"/>
      <w:szCs w:val="18"/>
      <w:lang w:val="zh-CN"/>
    </w:rPr>
  </w:style>
  <w:style w:type="paragraph" w:styleId="19">
    <w:name w:val="Subtitle"/>
    <w:basedOn w:val="1"/>
    <w:next w:val="1"/>
    <w:link w:val="65"/>
    <w:qFormat/>
    <w:uiPriority w:val="0"/>
    <w:pPr>
      <w:spacing w:before="240" w:beforeLines="50" w:after="60" w:line="312" w:lineRule="auto"/>
      <w:ind w:firstLine="200" w:firstLineChars="200"/>
      <w:jc w:val="center"/>
      <w:outlineLvl w:val="1"/>
    </w:pPr>
    <w:rPr>
      <w:rFonts w:ascii="Cambria" w:hAnsi="Cambria"/>
      <w:b/>
      <w:bCs/>
      <w:kern w:val="28"/>
      <w:sz w:val="32"/>
      <w:szCs w:val="32"/>
      <w:lang w:eastAsia="en-US"/>
    </w:rPr>
  </w:style>
  <w:style w:type="paragraph" w:styleId="20">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Hyperlink"/>
    <w:qFormat/>
    <w:uiPriority w:val="0"/>
    <w:rPr>
      <w:color w:val="0563C1"/>
      <w:u w:val="single"/>
    </w:rPr>
  </w:style>
  <w:style w:type="character" w:styleId="25">
    <w:name w:val="annotation reference"/>
    <w:unhideWhenUsed/>
    <w:qFormat/>
    <w:uiPriority w:val="99"/>
    <w:rPr>
      <w:sz w:val="21"/>
      <w:szCs w:val="21"/>
    </w:rPr>
  </w:style>
  <w:style w:type="character" w:customStyle="1" w:styleId="26">
    <w:name w:val="标题 1 字符"/>
    <w:link w:val="4"/>
    <w:qFormat/>
    <w:uiPriority w:val="0"/>
    <w:rPr>
      <w:b/>
      <w:bCs/>
      <w:kern w:val="44"/>
      <w:sz w:val="44"/>
      <w:szCs w:val="44"/>
      <w:lang w:val="zh-CN" w:eastAsia="zh-CN"/>
    </w:rPr>
  </w:style>
  <w:style w:type="character" w:customStyle="1" w:styleId="27">
    <w:name w:val="标题 2 字符"/>
    <w:link w:val="5"/>
    <w:qFormat/>
    <w:uiPriority w:val="0"/>
    <w:rPr>
      <w:rFonts w:ascii="等线 Light" w:hAnsi="等线 Light" w:eastAsia="等线 Light" w:cs="Times New Roman"/>
      <w:b/>
      <w:bCs/>
      <w:kern w:val="2"/>
      <w:sz w:val="32"/>
      <w:szCs w:val="32"/>
    </w:rPr>
  </w:style>
  <w:style w:type="character" w:customStyle="1" w:styleId="28">
    <w:name w:val="标题 3 字符"/>
    <w:link w:val="6"/>
    <w:qFormat/>
    <w:uiPriority w:val="0"/>
    <w:rPr>
      <w:b/>
      <w:bCs/>
      <w:kern w:val="2"/>
      <w:sz w:val="30"/>
      <w:szCs w:val="30"/>
    </w:rPr>
  </w:style>
  <w:style w:type="character" w:customStyle="1" w:styleId="29">
    <w:name w:val="标题 4 字符"/>
    <w:link w:val="7"/>
    <w:qFormat/>
    <w:uiPriority w:val="0"/>
    <w:rPr>
      <w:rFonts w:ascii="宋体" w:hAnsi="宋体"/>
      <w:b/>
      <w:bCs/>
      <w:kern w:val="2"/>
      <w:sz w:val="28"/>
      <w:szCs w:val="28"/>
    </w:rPr>
  </w:style>
  <w:style w:type="character" w:customStyle="1" w:styleId="30">
    <w:name w:val="标题 5 字符"/>
    <w:link w:val="8"/>
    <w:qFormat/>
    <w:uiPriority w:val="0"/>
    <w:rPr>
      <w:b/>
      <w:bCs/>
      <w:kern w:val="2"/>
      <w:sz w:val="28"/>
      <w:szCs w:val="28"/>
    </w:rPr>
  </w:style>
  <w:style w:type="character" w:customStyle="1" w:styleId="31">
    <w:name w:val="标题 6 字符"/>
    <w:link w:val="9"/>
    <w:semiHidden/>
    <w:qFormat/>
    <w:uiPriority w:val="0"/>
    <w:rPr>
      <w:rFonts w:ascii="等线 Light" w:hAnsi="等线 Light" w:eastAsia="等线 Light"/>
      <w:b/>
      <w:bCs/>
      <w:kern w:val="2"/>
      <w:sz w:val="24"/>
      <w:szCs w:val="24"/>
    </w:rPr>
  </w:style>
  <w:style w:type="character" w:customStyle="1" w:styleId="32">
    <w:name w:val="标题 7 字符"/>
    <w:link w:val="10"/>
    <w:semiHidden/>
    <w:qFormat/>
    <w:uiPriority w:val="0"/>
    <w:rPr>
      <w:b/>
      <w:bCs/>
      <w:kern w:val="2"/>
      <w:sz w:val="24"/>
      <w:szCs w:val="24"/>
    </w:rPr>
  </w:style>
  <w:style w:type="character" w:customStyle="1" w:styleId="33">
    <w:name w:val="标题 8 字符"/>
    <w:link w:val="11"/>
    <w:semiHidden/>
    <w:qFormat/>
    <w:uiPriority w:val="0"/>
    <w:rPr>
      <w:rFonts w:ascii="等线 Light" w:hAnsi="等线 Light" w:eastAsia="等线 Light"/>
      <w:kern w:val="2"/>
      <w:sz w:val="24"/>
      <w:szCs w:val="24"/>
    </w:rPr>
  </w:style>
  <w:style w:type="character" w:customStyle="1" w:styleId="34">
    <w:name w:val="标题 9 字符"/>
    <w:link w:val="12"/>
    <w:semiHidden/>
    <w:qFormat/>
    <w:uiPriority w:val="0"/>
    <w:rPr>
      <w:rFonts w:ascii="等线 Light" w:hAnsi="等线 Light" w:eastAsia="等线 Light"/>
      <w:kern w:val="2"/>
      <w:sz w:val="21"/>
      <w:szCs w:val="21"/>
    </w:rPr>
  </w:style>
  <w:style w:type="character" w:customStyle="1" w:styleId="35">
    <w:name w:val="正文缩进 字符"/>
    <w:link w:val="13"/>
    <w:qFormat/>
    <w:uiPriority w:val="99"/>
    <w:rPr>
      <w:spacing w:val="8"/>
      <w:kern w:val="2"/>
      <w:sz w:val="24"/>
      <w:lang w:val="en-US" w:eastAsia="zh-CN"/>
    </w:rPr>
  </w:style>
  <w:style w:type="character" w:customStyle="1" w:styleId="36">
    <w:name w:val="批注文字 字符1"/>
    <w:link w:val="14"/>
    <w:qFormat/>
    <w:uiPriority w:val="0"/>
    <w:rPr>
      <w:szCs w:val="24"/>
    </w:rPr>
  </w:style>
  <w:style w:type="character" w:customStyle="1" w:styleId="37">
    <w:name w:val="纯文本 字符"/>
    <w:link w:val="15"/>
    <w:qFormat/>
    <w:uiPriority w:val="0"/>
    <w:rPr>
      <w:rFonts w:ascii="Calibri" w:hAnsi="Courier New"/>
      <w:kern w:val="2"/>
      <w:sz w:val="21"/>
    </w:rPr>
  </w:style>
  <w:style w:type="character" w:customStyle="1" w:styleId="38">
    <w:name w:val="批注框文本 字符"/>
    <w:link w:val="16"/>
    <w:qFormat/>
    <w:uiPriority w:val="0"/>
    <w:rPr>
      <w:kern w:val="2"/>
      <w:sz w:val="18"/>
      <w:szCs w:val="18"/>
    </w:rPr>
  </w:style>
  <w:style w:type="character" w:customStyle="1" w:styleId="39">
    <w:name w:val="页脚 字符1"/>
    <w:link w:val="17"/>
    <w:qFormat/>
    <w:uiPriority w:val="0"/>
    <w:rPr>
      <w:kern w:val="2"/>
      <w:sz w:val="18"/>
      <w:szCs w:val="18"/>
    </w:rPr>
  </w:style>
  <w:style w:type="character" w:customStyle="1" w:styleId="40">
    <w:name w:val="页眉 字符"/>
    <w:link w:val="18"/>
    <w:qFormat/>
    <w:uiPriority w:val="0"/>
    <w:rPr>
      <w:kern w:val="2"/>
      <w:sz w:val="18"/>
      <w:szCs w:val="18"/>
    </w:rPr>
  </w:style>
  <w:style w:type="character" w:customStyle="1" w:styleId="41">
    <w:name w:val="已访问的超链接1"/>
    <w:qFormat/>
    <w:uiPriority w:val="0"/>
    <w:rPr>
      <w:color w:val="800080"/>
      <w:u w:val="single"/>
    </w:rPr>
  </w:style>
  <w:style w:type="character" w:customStyle="1" w:styleId="42">
    <w:name w:val="正文（首行缩进2字符） Char"/>
    <w:link w:val="43"/>
    <w:qFormat/>
    <w:uiPriority w:val="0"/>
    <w:rPr>
      <w:kern w:val="2"/>
      <w:sz w:val="24"/>
      <w:szCs w:val="24"/>
    </w:rPr>
  </w:style>
  <w:style w:type="paragraph" w:customStyle="1" w:styleId="43">
    <w:name w:val="正文（首行缩进2字符）"/>
    <w:basedOn w:val="1"/>
    <w:link w:val="42"/>
    <w:qFormat/>
    <w:uiPriority w:val="0"/>
    <w:pPr>
      <w:spacing w:line="360" w:lineRule="auto"/>
      <w:ind w:firstLine="480" w:firstLineChars="200"/>
    </w:pPr>
    <w:rPr>
      <w:sz w:val="24"/>
      <w:lang w:val="zh-CN"/>
    </w:rPr>
  </w:style>
  <w:style w:type="character" w:customStyle="1" w:styleId="44">
    <w:name w:val="段落 Char1"/>
    <w:link w:val="45"/>
    <w:qFormat/>
    <w:uiPriority w:val="0"/>
    <w:rPr>
      <w:rFonts w:eastAsia="仿宋_GB2312"/>
      <w:sz w:val="24"/>
      <w:szCs w:val="24"/>
      <w:lang w:val="en-US" w:eastAsia="zh-CN" w:bidi="ar-SA"/>
    </w:rPr>
  </w:style>
  <w:style w:type="paragraph" w:customStyle="1" w:styleId="45">
    <w:name w:val="段落"/>
    <w:link w:val="44"/>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6">
    <w:name w:val="正文（安华金和） Char"/>
    <w:link w:val="47"/>
    <w:qFormat/>
    <w:uiPriority w:val="0"/>
    <w:rPr>
      <w:rFonts w:ascii="Arial" w:hAnsi="Arial"/>
      <w:sz w:val="21"/>
      <w:szCs w:val="21"/>
      <w:lang w:val="en-US" w:eastAsia="zh-CN" w:bidi="ar-SA"/>
    </w:rPr>
  </w:style>
  <w:style w:type="paragraph" w:customStyle="1" w:styleId="47">
    <w:name w:val="正文（安华金和）"/>
    <w:link w:val="46"/>
    <w:qFormat/>
    <w:uiPriority w:val="0"/>
    <w:pPr>
      <w:widowControl w:val="0"/>
      <w:spacing w:line="360" w:lineRule="auto"/>
      <w:ind w:firstLine="200"/>
    </w:pPr>
    <w:rPr>
      <w:rFonts w:ascii="Arial" w:hAnsi="Arial" w:eastAsia="宋体" w:cs="Times New Roman"/>
      <w:sz w:val="21"/>
      <w:szCs w:val="21"/>
      <w:lang w:val="en-US" w:eastAsia="zh-CN" w:bidi="ar-SA"/>
    </w:rPr>
  </w:style>
  <w:style w:type="character" w:customStyle="1" w:styleId="48">
    <w:name w:val="页脚 字符"/>
    <w:qFormat/>
    <w:uiPriority w:val="99"/>
  </w:style>
  <w:style w:type="character" w:customStyle="1" w:styleId="49">
    <w:name w:val="列表段落 字符"/>
    <w:link w:val="50"/>
    <w:qFormat/>
    <w:uiPriority w:val="34"/>
    <w:rPr>
      <w:rFonts w:ascii="等线" w:hAnsi="等线" w:eastAsia="等线"/>
      <w:kern w:val="2"/>
      <w:sz w:val="21"/>
      <w:szCs w:val="22"/>
    </w:rPr>
  </w:style>
  <w:style w:type="paragraph" w:styleId="50">
    <w:name w:val="List Paragraph"/>
    <w:basedOn w:val="1"/>
    <w:link w:val="49"/>
    <w:qFormat/>
    <w:uiPriority w:val="34"/>
    <w:pPr>
      <w:ind w:firstLine="420" w:firstLineChars="200"/>
    </w:pPr>
    <w:rPr>
      <w:rFonts w:ascii="等线" w:hAnsi="等线" w:eastAsia="等线"/>
      <w:szCs w:val="22"/>
      <w:lang w:val="zh-CN"/>
    </w:rPr>
  </w:style>
  <w:style w:type="paragraph" w:customStyle="1" w:styleId="51">
    <w:name w:val="插图标注（安华金和）"/>
    <w:next w:val="1"/>
    <w:qFormat/>
    <w:uiPriority w:val="0"/>
    <w:pPr>
      <w:numPr>
        <w:ilvl w:val="6"/>
        <w:numId w:val="2"/>
      </w:numPr>
      <w:spacing w:after="156"/>
      <w:jc w:val="center"/>
    </w:pPr>
    <w:rPr>
      <w:rFonts w:ascii="Arial" w:hAnsi="Arial" w:eastAsia="宋体" w:cs="Arial"/>
      <w:sz w:val="21"/>
      <w:szCs w:val="21"/>
      <w:lang w:val="en-US" w:eastAsia="zh-CN" w:bidi="ar-SA"/>
    </w:rPr>
  </w:style>
  <w:style w:type="paragraph" w:customStyle="1" w:styleId="52">
    <w:name w:val="标题 2（DBSec）"/>
    <w:basedOn w:val="5"/>
    <w:next w:val="1"/>
    <w:qFormat/>
    <w:uiPriority w:val="0"/>
    <w:pPr>
      <w:numPr>
        <w:ilvl w:val="1"/>
        <w:numId w:val="2"/>
      </w:numPr>
      <w:spacing w:line="415" w:lineRule="auto"/>
      <w:ind w:left="794" w:leftChars="200"/>
      <w:jc w:val="left"/>
    </w:pPr>
    <w:rPr>
      <w:rFonts w:ascii="Arial" w:hAnsi="Arial" w:eastAsia="黑体"/>
      <w:bCs w:val="0"/>
    </w:rPr>
  </w:style>
  <w:style w:type="paragraph" w:customStyle="1" w:styleId="53">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4">
    <w:name w:val="_Style 27"/>
    <w:basedOn w:val="1"/>
    <w:next w:val="50"/>
    <w:qFormat/>
    <w:uiPriority w:val="34"/>
    <w:pPr>
      <w:widowControl/>
      <w:spacing w:line="240" w:lineRule="atLeast"/>
      <w:ind w:firstLine="420" w:firstLineChars="200"/>
    </w:pPr>
    <w:rPr>
      <w:rFonts w:ascii="Arial" w:hAnsi="Arial"/>
      <w:kern w:val="0"/>
      <w:szCs w:val="21"/>
    </w:rPr>
  </w:style>
  <w:style w:type="paragraph" w:customStyle="1" w:styleId="55">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6">
    <w:name w:val="标题 6（有编号）（安华金和）"/>
    <w:basedOn w:val="1"/>
    <w:next w:val="1"/>
    <w:qFormat/>
    <w:uiPriority w:val="0"/>
    <w:pPr>
      <w:keepNext/>
      <w:keepLines/>
      <w:numPr>
        <w:ilvl w:val="5"/>
        <w:numId w:val="2"/>
      </w:numPr>
      <w:spacing w:before="240" w:after="64" w:line="319" w:lineRule="auto"/>
      <w:ind w:left="0"/>
      <w:jc w:val="left"/>
      <w:outlineLvl w:val="5"/>
    </w:pPr>
    <w:rPr>
      <w:rFonts w:ascii="Arial" w:hAnsi="Arial" w:eastAsia="黑体"/>
      <w:b/>
      <w:kern w:val="0"/>
    </w:rPr>
  </w:style>
  <w:style w:type="paragraph" w:customStyle="1" w:styleId="57">
    <w:name w:val="标题 4（DBSec）"/>
    <w:basedOn w:val="7"/>
    <w:next w:val="1"/>
    <w:qFormat/>
    <w:uiPriority w:val="0"/>
    <w:pPr>
      <w:widowControl/>
      <w:numPr>
        <w:numId w:val="2"/>
      </w:numPr>
      <w:spacing w:after="156"/>
      <w:ind w:left="200" w:leftChars="200"/>
      <w:jc w:val="left"/>
    </w:pPr>
    <w:rPr>
      <w:rFonts w:ascii="Arial" w:hAnsi="Arial" w:eastAsia="黑体"/>
      <w:bCs w:val="0"/>
      <w:kern w:val="0"/>
    </w:rPr>
  </w:style>
  <w:style w:type="paragraph" w:customStyle="1" w:styleId="58">
    <w:name w:val="标题 3（DBSec）"/>
    <w:basedOn w:val="6"/>
    <w:next w:val="1"/>
    <w:qFormat/>
    <w:uiPriority w:val="0"/>
    <w:pPr>
      <w:numPr>
        <w:ilvl w:val="2"/>
        <w:numId w:val="2"/>
      </w:numPr>
      <w:tabs>
        <w:tab w:val="left" w:pos="960"/>
      </w:tabs>
      <w:spacing w:line="415" w:lineRule="auto"/>
      <w:ind w:left="200" w:leftChars="200"/>
      <w:jc w:val="left"/>
    </w:pPr>
    <w:rPr>
      <w:rFonts w:ascii="Arial" w:hAnsi="Arial" w:eastAsia="黑体"/>
      <w:bCs w:val="0"/>
      <w:kern w:val="0"/>
    </w:rPr>
  </w:style>
  <w:style w:type="paragraph" w:customStyle="1" w:styleId="59">
    <w:name w:val="标题 1（DBSec）"/>
    <w:basedOn w:val="4"/>
    <w:next w:val="1"/>
    <w:qFormat/>
    <w:uiPriority w:val="0"/>
    <w:pPr>
      <w:pageBreakBefore/>
      <w:numPr>
        <w:numId w:val="2"/>
      </w:numPr>
      <w:pBdr>
        <w:bottom w:val="single" w:color="auto" w:sz="48" w:space="1"/>
      </w:pBdr>
      <w:spacing w:before="600" w:line="576" w:lineRule="auto"/>
      <w:ind w:left="200" w:leftChars="200"/>
      <w:jc w:val="left"/>
    </w:pPr>
    <w:rPr>
      <w:rFonts w:ascii="Arial" w:hAnsi="Arial" w:eastAsia="黑体"/>
      <w:lang w:val="en-US"/>
    </w:rPr>
  </w:style>
  <w:style w:type="paragraph" w:customStyle="1" w:styleId="60">
    <w:name w:val="彩色列表 - 着色 11"/>
    <w:basedOn w:val="1"/>
    <w:qFormat/>
    <w:uiPriority w:val="34"/>
    <w:pPr>
      <w:spacing w:line="360" w:lineRule="auto"/>
      <w:ind w:firstLine="420" w:firstLineChars="200"/>
    </w:pPr>
    <w:rPr>
      <w:rFonts w:ascii="Arial" w:hAnsi="Arial"/>
      <w:szCs w:val="21"/>
    </w:rPr>
  </w:style>
  <w:style w:type="paragraph" w:customStyle="1" w:styleId="61">
    <w:name w:val="表格标注（安华金和）"/>
    <w:basedOn w:val="51"/>
    <w:next w:val="1"/>
    <w:qFormat/>
    <w:uiPriority w:val="0"/>
    <w:pPr>
      <w:numPr>
        <w:ilvl w:val="7"/>
      </w:numPr>
    </w:pPr>
  </w:style>
  <w:style w:type="paragraph" w:customStyle="1" w:styleId="62">
    <w:name w:val="标题 5（有编号）（安华金和）"/>
    <w:basedOn w:val="1"/>
    <w:next w:val="1"/>
    <w:qFormat/>
    <w:uiPriority w:val="0"/>
    <w:pPr>
      <w:keepNext/>
      <w:keepLines/>
      <w:numPr>
        <w:ilvl w:val="4"/>
        <w:numId w:val="2"/>
      </w:numPr>
      <w:spacing w:before="280" w:after="156" w:line="377" w:lineRule="auto"/>
      <w:ind w:left="0"/>
      <w:jc w:val="left"/>
      <w:outlineLvl w:val="4"/>
    </w:pPr>
    <w:rPr>
      <w:rFonts w:ascii="Arial" w:hAnsi="Arial" w:eastAsia="黑体"/>
      <w:b/>
      <w:kern w:val="0"/>
      <w:sz w:val="24"/>
      <w:szCs w:val="28"/>
    </w:rPr>
  </w:style>
  <w:style w:type="paragraph" w:customStyle="1" w:styleId="63">
    <w:name w:val="List Paragraph11"/>
    <w:basedOn w:val="1"/>
    <w:next w:val="1"/>
    <w:qFormat/>
    <w:uiPriority w:val="34"/>
    <w:pPr>
      <w:spacing w:line="360" w:lineRule="auto"/>
      <w:ind w:firstLine="420" w:firstLineChars="200"/>
    </w:pPr>
    <w:rPr>
      <w:rFonts w:ascii="Verdana" w:hAnsi="Verdana"/>
      <w:color w:val="000000"/>
      <w:sz w:val="20"/>
      <w:szCs w:val="20"/>
    </w:rPr>
  </w:style>
  <w:style w:type="character" w:customStyle="1" w:styleId="64">
    <w:name w:val="批注文字 字符"/>
    <w:qFormat/>
    <w:uiPriority w:val="99"/>
    <w:rPr>
      <w:kern w:val="2"/>
      <w:sz w:val="21"/>
      <w:szCs w:val="24"/>
    </w:rPr>
  </w:style>
  <w:style w:type="character" w:customStyle="1" w:styleId="65">
    <w:name w:val="副标题 字符"/>
    <w:link w:val="19"/>
    <w:qFormat/>
    <w:uiPriority w:val="0"/>
    <w:rPr>
      <w:rFonts w:ascii="Cambria" w:hAnsi="Cambria"/>
      <w:b/>
      <w:bCs/>
      <w:kern w:val="28"/>
      <w:sz w:val="32"/>
      <w:szCs w:val="32"/>
      <w:lang w:eastAsia="en-US"/>
    </w:rPr>
  </w:style>
  <w:style w:type="paragraph" w:customStyle="1" w:styleId="66">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1512</Words>
  <Characters>1551</Characters>
  <Lines>12</Lines>
  <Paragraphs>3</Paragraphs>
  <TotalTime>1</TotalTime>
  <ScaleCrop>false</ScaleCrop>
  <LinksUpToDate>false</LinksUpToDate>
  <CharactersWithSpaces>1560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2023-03-15T03:19:00Z</dcterms:created>
  <dc:creator>陈永辉</dc:creator>
  <cp:lastModifiedBy>刘亮</cp:lastModifiedBy>
  <dcterms:modified xsi:type="dcterms:W3CDTF">2023-03-17T08:05:58Z</dcterms:modified>
  <dc:title>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E6BF652D54F944798887341195E59480</vt:lpwstr>
  </property>
</Properties>
</file>