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200" w:afterLines="100" w:line="360" w:lineRule="auto"/>
        <w:jc w:val="center"/>
        <w:rPr>
          <w:rFonts w:ascii="微软雅黑" w:hAnsi="微软雅黑" w:eastAsia="微软雅黑" w:cs="微软雅黑"/>
          <w:b/>
          <w:sz w:val="36"/>
          <w:szCs w:val="36"/>
        </w:rPr>
      </w:pPr>
      <w:r>
        <w:rPr>
          <w:rFonts w:hint="eastAsia" w:ascii="微软雅黑" w:hAnsi="微软雅黑" w:eastAsia="微软雅黑" w:cs="微软雅黑"/>
          <w:b/>
          <w:sz w:val="36"/>
          <w:szCs w:val="36"/>
        </w:rPr>
        <w:t>2023年核医学NIS系统升级整合项目需求</w:t>
      </w:r>
    </w:p>
    <w:p>
      <w:pPr>
        <w:pStyle w:val="3"/>
        <w:numPr>
          <w:ilvl w:val="0"/>
          <w:numId w:val="3"/>
        </w:numPr>
        <w:spacing w:before="0" w:after="0"/>
        <w:rPr>
          <w:rFonts w:ascii="微软雅黑" w:hAnsi="微软雅黑" w:eastAsia="微软雅黑" w:cs="微软雅黑"/>
          <w:sz w:val="32"/>
          <w:szCs w:val="32"/>
        </w:rPr>
      </w:pPr>
      <w:r>
        <w:rPr>
          <w:rFonts w:hint="eastAsia" w:ascii="微软雅黑" w:hAnsi="微软雅黑" w:eastAsia="微软雅黑" w:cs="微软雅黑"/>
          <w:sz w:val="32"/>
          <w:szCs w:val="32"/>
        </w:rPr>
        <w:t>项目名称</w:t>
      </w:r>
    </w:p>
    <w:p>
      <w:pPr>
        <w:spacing w:line="360" w:lineRule="auto"/>
        <w:ind w:left="432"/>
        <w:rPr>
          <w:rFonts w:ascii="微软雅黑" w:hAnsi="微软雅黑" w:eastAsia="微软雅黑" w:cs="微软雅黑"/>
          <w:sz w:val="22"/>
        </w:rPr>
      </w:pPr>
      <w:r>
        <w:rPr>
          <w:rFonts w:hint="eastAsia" w:ascii="微软雅黑" w:hAnsi="微软雅黑" w:eastAsia="微软雅黑" w:cs="微软雅黑"/>
          <w:sz w:val="22"/>
        </w:rPr>
        <w:t>项目名称：2023年核医学NIS系统升级整合项目</w:t>
      </w:r>
    </w:p>
    <w:p>
      <w:pPr>
        <w:spacing w:line="360" w:lineRule="auto"/>
        <w:ind w:left="432"/>
        <w:rPr>
          <w:rFonts w:ascii="微软雅黑" w:hAnsi="微软雅黑" w:eastAsia="微软雅黑" w:cs="微软雅黑"/>
          <w:sz w:val="22"/>
        </w:rPr>
      </w:pPr>
    </w:p>
    <w:p>
      <w:pPr>
        <w:pStyle w:val="3"/>
        <w:numPr>
          <w:ilvl w:val="0"/>
          <w:numId w:val="3"/>
        </w:numPr>
        <w:spacing w:before="0" w:after="0"/>
        <w:rPr>
          <w:rFonts w:ascii="微软雅黑" w:hAnsi="微软雅黑" w:eastAsia="微软雅黑" w:cs="微软雅黑"/>
          <w:sz w:val="32"/>
          <w:szCs w:val="32"/>
        </w:rPr>
      </w:pPr>
      <w:r>
        <w:rPr>
          <w:rFonts w:hint="eastAsia" w:ascii="微软雅黑" w:hAnsi="微软雅黑" w:eastAsia="微软雅黑" w:cs="微软雅黑"/>
          <w:sz w:val="32"/>
          <w:szCs w:val="32"/>
        </w:rPr>
        <w:t>采购清</w:t>
      </w:r>
      <w:r>
        <w:rPr>
          <w:rFonts w:hint="eastAsia" w:ascii="微软雅黑" w:hAnsi="微软雅黑" w:eastAsia="微软雅黑" w:cs="微软雅黑"/>
          <w:sz w:val="32"/>
          <w:szCs w:val="32"/>
          <w:lang w:val="en-US"/>
        </w:rPr>
        <w:t>单</w:t>
      </w:r>
    </w:p>
    <w:p>
      <w:pPr>
        <w:rPr>
          <w:rFonts w:ascii="微软雅黑" w:hAnsi="微软雅黑" w:eastAsia="微软雅黑" w:cs="微软雅黑"/>
        </w:rPr>
      </w:pPr>
      <w:r>
        <w:rPr>
          <w:rFonts w:hint="eastAsia" w:ascii="微软雅黑" w:hAnsi="微软雅黑" w:eastAsia="微软雅黑" w:cs="微软雅黑"/>
          <w:sz w:val="22"/>
        </w:rPr>
        <w:t>《2023年核医学NIS系统升级整合项目》</w:t>
      </w:r>
      <w:r>
        <w:rPr>
          <w:rFonts w:hint="eastAsia" w:ascii="微软雅黑" w:hAnsi="微软雅黑" w:eastAsia="微软雅黑" w:cs="微软雅黑"/>
        </w:rPr>
        <w:t>采购清单如下：</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3008"/>
        <w:gridCol w:w="4222"/>
        <w:gridCol w:w="1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rPr>
                <w:rFonts w:ascii="微软雅黑" w:hAnsi="微软雅黑" w:eastAsia="微软雅黑" w:cs="微软雅黑"/>
                <w:b/>
              </w:rPr>
            </w:pPr>
            <w:r>
              <w:rPr>
                <w:rFonts w:hint="eastAsia" w:ascii="微软雅黑" w:hAnsi="微软雅黑" w:eastAsia="微软雅黑" w:cs="微软雅黑"/>
                <w:b/>
              </w:rPr>
              <w:t>序号</w:t>
            </w:r>
          </w:p>
        </w:tc>
        <w:tc>
          <w:tcPr>
            <w:tcW w:w="3008" w:type="dxa"/>
          </w:tcPr>
          <w:p>
            <w:pPr>
              <w:jc w:val="center"/>
              <w:rPr>
                <w:rFonts w:ascii="微软雅黑" w:hAnsi="微软雅黑" w:eastAsia="微软雅黑" w:cs="微软雅黑"/>
                <w:b/>
              </w:rPr>
            </w:pPr>
            <w:r>
              <w:rPr>
                <w:rFonts w:hint="eastAsia" w:ascii="微软雅黑" w:hAnsi="微软雅黑" w:eastAsia="微软雅黑" w:cs="微软雅黑"/>
                <w:b/>
              </w:rPr>
              <w:t>名称</w:t>
            </w:r>
          </w:p>
        </w:tc>
        <w:tc>
          <w:tcPr>
            <w:tcW w:w="4222" w:type="dxa"/>
          </w:tcPr>
          <w:p>
            <w:pPr>
              <w:jc w:val="center"/>
              <w:rPr>
                <w:rFonts w:ascii="微软雅黑" w:hAnsi="微软雅黑" w:eastAsia="微软雅黑" w:cs="微软雅黑"/>
                <w:b/>
              </w:rPr>
            </w:pPr>
            <w:r>
              <w:rPr>
                <w:rFonts w:hint="eastAsia" w:ascii="微软雅黑" w:hAnsi="微软雅黑" w:eastAsia="微软雅黑" w:cs="微软雅黑"/>
                <w:b/>
              </w:rPr>
              <w:t>配置描述</w:t>
            </w:r>
          </w:p>
        </w:tc>
        <w:tc>
          <w:tcPr>
            <w:tcW w:w="1381" w:type="dxa"/>
          </w:tcPr>
          <w:p>
            <w:pPr>
              <w:jc w:val="center"/>
              <w:rPr>
                <w:rFonts w:ascii="微软雅黑" w:hAnsi="微软雅黑" w:eastAsia="微软雅黑" w:cs="微软雅黑"/>
                <w:b/>
              </w:rPr>
            </w:pPr>
            <w:r>
              <w:rPr>
                <w:rFonts w:hint="eastAsia" w:ascii="微软雅黑" w:hAnsi="微软雅黑" w:eastAsia="微软雅黑" w:cs="微软雅黑"/>
                <w:b/>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675" w:type="dxa"/>
          </w:tcPr>
          <w:p>
            <w:pPr>
              <w:spacing w:line="0" w:lineRule="atLeast"/>
              <w:jc w:val="center"/>
              <w:rPr>
                <w:rFonts w:ascii="微软雅黑" w:hAnsi="微软雅黑" w:eastAsia="微软雅黑" w:cs="微软雅黑"/>
              </w:rPr>
            </w:pPr>
            <w:r>
              <w:rPr>
                <w:rFonts w:hint="eastAsia" w:ascii="微软雅黑" w:hAnsi="微软雅黑" w:eastAsia="微软雅黑" w:cs="微软雅黑"/>
              </w:rPr>
              <w:t>1</w:t>
            </w:r>
          </w:p>
        </w:tc>
        <w:tc>
          <w:tcPr>
            <w:tcW w:w="3008" w:type="dxa"/>
          </w:tcPr>
          <w:p>
            <w:pPr>
              <w:spacing w:line="0" w:lineRule="atLeast"/>
              <w:jc w:val="center"/>
              <w:rPr>
                <w:rFonts w:ascii="微软雅黑" w:hAnsi="微软雅黑" w:eastAsia="微软雅黑" w:cs="微软雅黑"/>
              </w:rPr>
            </w:pPr>
            <w:r>
              <w:rPr>
                <w:rFonts w:hint="eastAsia" w:ascii="微软雅黑" w:hAnsi="微软雅黑" w:eastAsia="微软雅黑" w:cs="微软雅黑"/>
              </w:rPr>
              <w:t>2023年核医学NIS系统升级整合项目</w:t>
            </w:r>
          </w:p>
        </w:tc>
        <w:tc>
          <w:tcPr>
            <w:tcW w:w="4222" w:type="dxa"/>
          </w:tcPr>
          <w:p>
            <w:pPr>
              <w:spacing w:line="0" w:lineRule="atLeast"/>
              <w:rPr>
                <w:rFonts w:ascii="微软雅黑" w:hAnsi="微软雅黑" w:eastAsia="微软雅黑" w:cs="微软雅黑"/>
              </w:rPr>
            </w:pPr>
            <w:r>
              <w:fldChar w:fldCharType="begin"/>
            </w:r>
            <w:r>
              <w:instrText xml:space="preserve"> HYPERLINK \l "_6.1.1、大数据服务器" </w:instrText>
            </w:r>
            <w:r>
              <w:fldChar w:fldCharType="separate"/>
            </w:r>
            <w:r>
              <w:rPr>
                <w:rStyle w:val="23"/>
                <w:rFonts w:hint="eastAsia" w:ascii="微软雅黑" w:hAnsi="微软雅黑" w:eastAsia="微软雅黑" w:cs="微软雅黑"/>
              </w:rPr>
              <w:t>配置详见</w:t>
            </w:r>
            <w:r>
              <w:rPr>
                <w:rStyle w:val="23"/>
                <w:rFonts w:hint="eastAsia" w:ascii="微软雅黑" w:hAnsi="微软雅黑" w:eastAsia="微软雅黑" w:cs="微软雅黑"/>
              </w:rPr>
              <w:fldChar w:fldCharType="end"/>
            </w:r>
            <w:r>
              <w:rPr>
                <w:rStyle w:val="23"/>
                <w:rFonts w:hint="eastAsia" w:ascii="微软雅黑" w:hAnsi="微软雅黑" w:eastAsia="微软雅黑" w:cs="微软雅黑"/>
              </w:rPr>
              <w:t>：《2023年核医学NIS系统升级整合项目技术要求》</w:t>
            </w:r>
          </w:p>
        </w:tc>
        <w:tc>
          <w:tcPr>
            <w:tcW w:w="1381" w:type="dxa"/>
          </w:tcPr>
          <w:p>
            <w:pPr>
              <w:spacing w:line="0" w:lineRule="atLeast"/>
              <w:jc w:val="center"/>
              <w:rPr>
                <w:rFonts w:ascii="微软雅黑" w:hAnsi="微软雅黑" w:eastAsia="微软雅黑" w:cs="微软雅黑"/>
              </w:rPr>
            </w:pPr>
            <w:r>
              <w:rPr>
                <w:rFonts w:hint="eastAsia" w:ascii="微软雅黑" w:hAnsi="微软雅黑" w:eastAsia="微软雅黑" w:cs="微软雅黑"/>
              </w:rPr>
              <w:t>1</w:t>
            </w:r>
          </w:p>
        </w:tc>
      </w:tr>
    </w:tbl>
    <w:p>
      <w:pPr>
        <w:pStyle w:val="49"/>
        <w:keepNext/>
        <w:keepLines/>
        <w:numPr>
          <w:ilvl w:val="0"/>
          <w:numId w:val="1"/>
        </w:numPr>
        <w:spacing w:line="578" w:lineRule="auto"/>
        <w:ind w:firstLineChars="0"/>
        <w:outlineLvl w:val="0"/>
        <w:rPr>
          <w:rFonts w:ascii="微软雅黑" w:hAnsi="微软雅黑" w:eastAsia="微软雅黑" w:cs="微软雅黑"/>
          <w:b/>
          <w:bCs/>
          <w:vanish/>
          <w:kern w:val="44"/>
          <w:sz w:val="44"/>
          <w:szCs w:val="44"/>
        </w:rPr>
      </w:pPr>
    </w:p>
    <w:p>
      <w:pPr>
        <w:pStyle w:val="49"/>
        <w:keepNext/>
        <w:keepLines/>
        <w:numPr>
          <w:ilvl w:val="0"/>
          <w:numId w:val="1"/>
        </w:numPr>
        <w:spacing w:line="578" w:lineRule="auto"/>
        <w:ind w:firstLineChars="0"/>
        <w:outlineLvl w:val="0"/>
        <w:rPr>
          <w:rFonts w:ascii="微软雅黑" w:hAnsi="微软雅黑" w:eastAsia="微软雅黑" w:cs="微软雅黑"/>
          <w:b/>
          <w:bCs/>
          <w:vanish/>
          <w:kern w:val="44"/>
          <w:sz w:val="44"/>
          <w:szCs w:val="44"/>
        </w:rPr>
      </w:pPr>
    </w:p>
    <w:p>
      <w:pPr>
        <w:pStyle w:val="49"/>
        <w:keepNext/>
        <w:keepLines/>
        <w:numPr>
          <w:ilvl w:val="0"/>
          <w:numId w:val="1"/>
        </w:numPr>
        <w:spacing w:line="578" w:lineRule="auto"/>
        <w:ind w:firstLineChars="0"/>
        <w:outlineLvl w:val="0"/>
        <w:rPr>
          <w:rFonts w:ascii="微软雅黑" w:hAnsi="微软雅黑" w:eastAsia="微软雅黑" w:cs="微软雅黑"/>
          <w:b/>
          <w:bCs/>
          <w:vanish/>
          <w:kern w:val="44"/>
          <w:sz w:val="44"/>
          <w:szCs w:val="44"/>
        </w:rPr>
      </w:pPr>
    </w:p>
    <w:p>
      <w:pPr>
        <w:pStyle w:val="49"/>
        <w:keepNext/>
        <w:keepLines/>
        <w:numPr>
          <w:ilvl w:val="1"/>
          <w:numId w:val="1"/>
        </w:numPr>
        <w:spacing w:line="578" w:lineRule="auto"/>
        <w:ind w:firstLineChars="0"/>
        <w:outlineLvl w:val="0"/>
        <w:rPr>
          <w:rFonts w:ascii="微软雅黑" w:hAnsi="微软雅黑" w:eastAsia="微软雅黑" w:cs="微软雅黑"/>
          <w:b/>
          <w:bCs/>
          <w:vanish/>
          <w:kern w:val="44"/>
          <w:sz w:val="44"/>
          <w:szCs w:val="44"/>
        </w:rPr>
      </w:pPr>
    </w:p>
    <w:p>
      <w:pPr>
        <w:pStyle w:val="52"/>
      </w:pPr>
    </w:p>
    <w:p>
      <w:pPr>
        <w:pStyle w:val="3"/>
        <w:numPr>
          <w:ilvl w:val="0"/>
          <w:numId w:val="3"/>
        </w:numPr>
        <w:spacing w:before="0" w:after="0"/>
        <w:rPr>
          <w:rFonts w:ascii="微软雅黑" w:hAnsi="微软雅黑" w:eastAsia="微软雅黑" w:cs="微软雅黑"/>
          <w:sz w:val="24"/>
          <w:szCs w:val="24"/>
          <w:lang w:val="en-US"/>
        </w:rPr>
      </w:pPr>
      <w:r>
        <w:rPr>
          <w:rFonts w:hint="eastAsia" w:ascii="微软雅黑" w:hAnsi="微软雅黑" w:eastAsia="微软雅黑" w:cs="微软雅黑"/>
          <w:sz w:val="32"/>
          <w:szCs w:val="32"/>
        </w:rPr>
        <w:t>详细配置参数</w:t>
      </w:r>
      <w:bookmarkStart w:id="0" w:name="_6.1.1、大数据服务器"/>
      <w:bookmarkEnd w:id="0"/>
    </w:p>
    <w:tbl>
      <w:tblPr>
        <w:tblStyle w:val="20"/>
        <w:tblW w:w="48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601"/>
        <w:gridCol w:w="6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045" w:type="dxa"/>
            <w:gridSpan w:val="3"/>
            <w:vAlign w:val="center"/>
          </w:tcPr>
          <w:p>
            <w:pPr>
              <w:widowControl/>
              <w:adjustRightInd w:val="0"/>
              <w:spacing w:line="360" w:lineRule="auto"/>
              <w:jc w:val="left"/>
              <w:rPr>
                <w:rFonts w:ascii="微软雅黑" w:hAnsi="微软雅黑" w:eastAsia="微软雅黑" w:cs="微软雅黑"/>
                <w:b/>
                <w:kern w:val="0"/>
                <w:szCs w:val="21"/>
              </w:rPr>
            </w:pPr>
            <w:r>
              <w:rPr>
                <w:rFonts w:hint="eastAsia" w:ascii="微软雅黑" w:hAnsi="微软雅黑" w:eastAsia="微软雅黑" w:cs="微软雅黑"/>
                <w:b/>
                <w:bCs/>
                <w:sz w:val="24"/>
              </w:rPr>
              <w:t>2023年核医学NIS系统升级整合项目技术要求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widowControl/>
              <w:adjustRightInd w:val="0"/>
              <w:spacing w:line="360" w:lineRule="auto"/>
              <w:jc w:val="center"/>
              <w:rPr>
                <w:rFonts w:ascii="微软雅黑" w:hAnsi="微软雅黑" w:eastAsia="微软雅黑" w:cs="微软雅黑"/>
                <w:b/>
                <w:kern w:val="0"/>
                <w:szCs w:val="21"/>
              </w:rPr>
            </w:pPr>
            <w:r>
              <w:rPr>
                <w:rFonts w:hint="eastAsia" w:ascii="微软雅黑" w:hAnsi="微软雅黑" w:eastAsia="微软雅黑" w:cs="微软雅黑"/>
                <w:b/>
                <w:kern w:val="0"/>
                <w:szCs w:val="21"/>
              </w:rPr>
              <w:t>序号</w:t>
            </w:r>
          </w:p>
        </w:tc>
        <w:tc>
          <w:tcPr>
            <w:tcW w:w="1601" w:type="dxa"/>
            <w:shd w:val="clear" w:color="auto" w:fill="auto"/>
            <w:vAlign w:val="center"/>
          </w:tcPr>
          <w:p>
            <w:pPr>
              <w:widowControl/>
              <w:adjustRightInd w:val="0"/>
              <w:spacing w:line="360" w:lineRule="auto"/>
              <w:jc w:val="center"/>
              <w:rPr>
                <w:rFonts w:ascii="微软雅黑" w:hAnsi="微软雅黑" w:eastAsia="微软雅黑" w:cs="微软雅黑"/>
                <w:b/>
                <w:kern w:val="0"/>
                <w:szCs w:val="21"/>
              </w:rPr>
            </w:pPr>
            <w:r>
              <w:rPr>
                <w:rFonts w:hint="eastAsia" w:ascii="微软雅黑" w:hAnsi="微软雅黑" w:eastAsia="微软雅黑" w:cs="微软雅黑"/>
                <w:b/>
                <w:kern w:val="0"/>
                <w:szCs w:val="21"/>
              </w:rPr>
              <w:t>指标项</w:t>
            </w:r>
          </w:p>
        </w:tc>
        <w:tc>
          <w:tcPr>
            <w:tcW w:w="6559" w:type="dxa"/>
            <w:shd w:val="clear" w:color="auto" w:fill="auto"/>
            <w:vAlign w:val="center"/>
          </w:tcPr>
          <w:p>
            <w:pPr>
              <w:widowControl/>
              <w:adjustRightInd w:val="0"/>
              <w:spacing w:line="360" w:lineRule="auto"/>
              <w:jc w:val="center"/>
              <w:rPr>
                <w:rFonts w:ascii="微软雅黑" w:hAnsi="微软雅黑" w:eastAsia="微软雅黑" w:cs="微软雅黑"/>
                <w:b/>
                <w:kern w:val="0"/>
                <w:szCs w:val="21"/>
              </w:rPr>
            </w:pPr>
            <w:r>
              <w:rPr>
                <w:rFonts w:hint="eastAsia" w:ascii="微软雅黑" w:hAnsi="微软雅黑" w:eastAsia="微软雅黑" w:cs="微软雅黑"/>
                <w:b/>
                <w:kern w:val="0"/>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pPr>
              <w:widowControl/>
              <w:numPr>
                <w:ilvl w:val="0"/>
                <w:numId w:val="4"/>
              </w:numPr>
              <w:adjustRightInd w:val="0"/>
              <w:spacing w:line="360" w:lineRule="auto"/>
              <w:jc w:val="center"/>
              <w:rPr>
                <w:rFonts w:ascii="微软雅黑" w:hAnsi="微软雅黑" w:eastAsia="微软雅黑" w:cs="微软雅黑"/>
                <w:b/>
                <w:bCs/>
                <w:kern w:val="0"/>
                <w:szCs w:val="21"/>
              </w:rPr>
            </w:pPr>
          </w:p>
        </w:tc>
        <w:tc>
          <w:tcPr>
            <w:tcW w:w="1601" w:type="dxa"/>
            <w:shd w:val="clear" w:color="auto" w:fill="auto"/>
            <w:vAlign w:val="center"/>
          </w:tcPr>
          <w:p>
            <w:pPr>
              <w:widowControl/>
              <w:spacing w:line="0" w:lineRule="atLeast"/>
              <w:jc w:val="left"/>
              <w:rPr>
                <w:rFonts w:ascii="微软雅黑" w:hAnsi="微软雅黑" w:eastAsia="微软雅黑" w:cs="宋体"/>
                <w:kern w:val="0"/>
                <w:szCs w:val="21"/>
              </w:rPr>
            </w:pPr>
            <w:r>
              <w:rPr>
                <w:rFonts w:hint="eastAsia" w:ascii="微软雅黑" w:hAnsi="微软雅黑" w:eastAsia="微软雅黑" w:cs="宋体"/>
                <w:kern w:val="0"/>
                <w:szCs w:val="21"/>
              </w:rPr>
              <w:t>电子病历6级评审核医学NIS修改</w:t>
            </w:r>
          </w:p>
        </w:tc>
        <w:tc>
          <w:tcPr>
            <w:tcW w:w="6559" w:type="dxa"/>
            <w:shd w:val="clear" w:color="auto" w:fill="auto"/>
            <w:vAlign w:val="center"/>
          </w:tcPr>
          <w:p>
            <w:pPr>
              <w:widowControl/>
              <w:adjustRightInd w:val="0"/>
              <w:snapToGrid w:val="0"/>
              <w:rPr>
                <w:rFonts w:ascii="微软雅黑" w:hAnsi="微软雅黑" w:eastAsia="微软雅黑" w:cs="微软雅黑"/>
                <w:bCs/>
                <w:kern w:val="0"/>
                <w:szCs w:val="21"/>
              </w:rPr>
            </w:pPr>
            <w:r>
              <w:rPr>
                <w:rFonts w:hint="eastAsia" w:ascii="微软雅黑" w:hAnsi="微软雅黑" w:eastAsia="微软雅黑" w:cs="微软雅黑"/>
                <w:bCs/>
                <w:kern w:val="0"/>
                <w:szCs w:val="21"/>
              </w:rPr>
              <w:t>按照电子病历评审要求，如期针对核医学系统做适应性和满足性修改；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85" w:type="dxa"/>
            <w:vAlign w:val="center"/>
          </w:tcPr>
          <w:p>
            <w:pPr>
              <w:widowControl/>
              <w:adjustRightInd w:val="0"/>
              <w:spacing w:line="360" w:lineRule="auto"/>
              <w:jc w:val="center"/>
              <w:rPr>
                <w:rFonts w:ascii="微软雅黑" w:hAnsi="微软雅黑" w:eastAsia="微软雅黑" w:cs="微软雅黑"/>
                <w:b/>
                <w:bCs/>
                <w:kern w:val="0"/>
                <w:szCs w:val="21"/>
              </w:rPr>
            </w:pPr>
            <w:r>
              <w:rPr>
                <w:rFonts w:ascii="微软雅黑" w:hAnsi="微软雅黑" w:eastAsia="微软雅黑" w:cs="微软雅黑"/>
                <w:b/>
                <w:bCs/>
                <w:kern w:val="0"/>
                <w:szCs w:val="21"/>
              </w:rPr>
              <w:t>1.1</w:t>
            </w:r>
          </w:p>
        </w:tc>
        <w:tc>
          <w:tcPr>
            <w:tcW w:w="1601" w:type="dxa"/>
            <w:shd w:val="clear" w:color="auto" w:fill="auto"/>
            <w:vAlign w:val="center"/>
          </w:tcPr>
          <w:p>
            <w:pPr>
              <w:widowControl/>
              <w:spacing w:line="0" w:lineRule="atLeast"/>
              <w:jc w:val="left"/>
              <w:rPr>
                <w:rFonts w:ascii="微软雅黑" w:hAnsi="微软雅黑" w:eastAsia="微软雅黑" w:cs="宋体"/>
                <w:kern w:val="0"/>
                <w:szCs w:val="21"/>
              </w:rPr>
            </w:pPr>
            <w:r>
              <w:rPr>
                <w:rFonts w:hint="eastAsia" w:ascii="微软雅黑" w:hAnsi="微软雅黑" w:eastAsia="微软雅黑" w:cs="宋体"/>
                <w:kern w:val="0"/>
                <w:szCs w:val="21"/>
              </w:rPr>
              <w:t>整合性：</w:t>
            </w:r>
          </w:p>
        </w:tc>
        <w:tc>
          <w:tcPr>
            <w:tcW w:w="6559" w:type="dxa"/>
            <w:shd w:val="clear" w:color="auto" w:fill="auto"/>
            <w:vAlign w:val="center"/>
          </w:tcPr>
          <w:p>
            <w:pPr>
              <w:pStyle w:val="49"/>
              <w:widowControl/>
              <w:numPr>
                <w:ilvl w:val="0"/>
                <w:numId w:val="5"/>
              </w:numPr>
              <w:adjustRightInd w:val="0"/>
              <w:spacing w:line="0" w:lineRule="atLeast"/>
              <w:ind w:firstLineChars="0"/>
              <w:rPr>
                <w:rFonts w:ascii="微软雅黑" w:hAnsi="微软雅黑" w:eastAsia="微软雅黑"/>
              </w:rPr>
            </w:pPr>
            <w:r>
              <w:rPr>
                <w:rFonts w:hint="eastAsia" w:ascii="微软雅黑" w:hAnsi="微软雅黑" w:eastAsia="微软雅黑"/>
              </w:rPr>
              <w:t>申请单及报告表和HIS一致的申请单编码记录。修改MQ接收程序,处理申请单时将编码同时写入。</w:t>
            </w:r>
          </w:p>
          <w:p>
            <w:pPr>
              <w:pStyle w:val="49"/>
              <w:widowControl/>
              <w:numPr>
                <w:ilvl w:val="0"/>
                <w:numId w:val="5"/>
              </w:numPr>
              <w:adjustRightInd w:val="0"/>
              <w:spacing w:line="0" w:lineRule="atLeast"/>
              <w:ind w:firstLineChars="0"/>
              <w:rPr>
                <w:rFonts w:ascii="微软雅黑" w:hAnsi="微软雅黑" w:eastAsia="微软雅黑"/>
              </w:rPr>
            </w:pPr>
            <w:r>
              <w:rPr>
                <w:rFonts w:hint="eastAsia" w:ascii="微软雅黑" w:hAnsi="微软雅黑" w:eastAsia="微软雅黑"/>
              </w:rPr>
              <w:t>存在患者ID报告与申请单一致性。</w:t>
            </w:r>
          </w:p>
          <w:p>
            <w:pPr>
              <w:pStyle w:val="49"/>
              <w:widowControl/>
              <w:numPr>
                <w:ilvl w:val="0"/>
                <w:numId w:val="5"/>
              </w:numPr>
              <w:adjustRightInd w:val="0"/>
              <w:spacing w:line="0" w:lineRule="atLeast"/>
              <w:ind w:firstLineChars="0"/>
              <w:rPr>
                <w:rFonts w:ascii="微软雅黑" w:hAnsi="微软雅黑" w:eastAsia="微软雅黑"/>
              </w:rPr>
            </w:pPr>
            <w:r>
              <w:rPr>
                <w:rFonts w:hint="eastAsia" w:ascii="微软雅黑" w:hAnsi="微软雅黑" w:eastAsia="微软雅黑"/>
              </w:rPr>
              <w:t>存在申请科室报告与申请单一致性。</w:t>
            </w:r>
          </w:p>
          <w:p>
            <w:pPr>
              <w:pStyle w:val="49"/>
              <w:widowControl/>
              <w:numPr>
                <w:ilvl w:val="0"/>
                <w:numId w:val="5"/>
              </w:numPr>
              <w:adjustRightInd w:val="0"/>
              <w:spacing w:line="0" w:lineRule="atLeast"/>
              <w:ind w:firstLineChars="0"/>
              <w:rPr>
                <w:rFonts w:ascii="微软雅黑" w:hAnsi="微软雅黑" w:eastAsia="微软雅黑"/>
              </w:rPr>
            </w:pPr>
            <w:r>
              <w:rPr>
                <w:rFonts w:hint="eastAsia" w:ascii="微软雅黑" w:hAnsi="微软雅黑" w:eastAsia="微软雅黑"/>
              </w:rPr>
              <w:t>存在项目名称报告与申请单一致性。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85" w:type="dxa"/>
            <w:vAlign w:val="center"/>
          </w:tcPr>
          <w:p>
            <w:pPr>
              <w:widowControl/>
              <w:adjustRightInd w:val="0"/>
              <w:spacing w:line="360" w:lineRule="auto"/>
              <w:jc w:val="center"/>
              <w:rPr>
                <w:rFonts w:ascii="微软雅黑" w:hAnsi="微软雅黑" w:eastAsia="微软雅黑" w:cs="微软雅黑"/>
                <w:b/>
                <w:bCs/>
                <w:kern w:val="0"/>
                <w:szCs w:val="21"/>
              </w:rPr>
            </w:pPr>
            <w:r>
              <w:rPr>
                <w:rFonts w:ascii="微软雅黑" w:hAnsi="微软雅黑" w:eastAsia="微软雅黑" w:cs="微软雅黑"/>
                <w:b/>
                <w:bCs/>
                <w:kern w:val="0"/>
                <w:szCs w:val="21"/>
              </w:rPr>
              <w:t>1.2</w:t>
            </w:r>
          </w:p>
        </w:tc>
        <w:tc>
          <w:tcPr>
            <w:tcW w:w="1601" w:type="dxa"/>
            <w:shd w:val="clear" w:color="auto" w:fill="auto"/>
            <w:vAlign w:val="center"/>
          </w:tcPr>
          <w:p>
            <w:pPr>
              <w:widowControl/>
              <w:spacing w:line="0" w:lineRule="atLeast"/>
              <w:jc w:val="left"/>
              <w:rPr>
                <w:rFonts w:ascii="微软雅黑" w:hAnsi="微软雅黑" w:eastAsia="微软雅黑" w:cs="宋体"/>
                <w:kern w:val="0"/>
                <w:szCs w:val="21"/>
              </w:rPr>
            </w:pPr>
            <w:r>
              <w:rPr>
                <w:rFonts w:hint="eastAsia" w:ascii="微软雅黑" w:hAnsi="微软雅黑" w:eastAsia="微软雅黑" w:cs="宋体"/>
                <w:kern w:val="0"/>
                <w:szCs w:val="21"/>
              </w:rPr>
              <w:t>一致性：</w:t>
            </w:r>
          </w:p>
        </w:tc>
        <w:tc>
          <w:tcPr>
            <w:tcW w:w="6559" w:type="dxa"/>
            <w:shd w:val="clear" w:color="auto" w:fill="auto"/>
            <w:vAlign w:val="center"/>
          </w:tcPr>
          <w:p>
            <w:pPr>
              <w:pStyle w:val="49"/>
              <w:widowControl/>
              <w:numPr>
                <w:ilvl w:val="0"/>
                <w:numId w:val="6"/>
              </w:numPr>
              <w:adjustRightInd w:val="0"/>
              <w:spacing w:line="0" w:lineRule="atLeast"/>
              <w:ind w:firstLineChars="0"/>
              <w:rPr>
                <w:rFonts w:ascii="微软雅黑" w:hAnsi="微软雅黑" w:eastAsia="微软雅黑"/>
              </w:rPr>
            </w:pPr>
            <w:r>
              <w:rPr>
                <w:rFonts w:hint="eastAsia" w:ascii="微软雅黑" w:hAnsi="微软雅黑" w:eastAsia="微软雅黑"/>
              </w:rPr>
              <w:t>检查报告中的项目名称与字典一致性。根据提供的接口文档来开发获取检查项目字典的服务程序,实现全自动与his系统同步更新。</w:t>
            </w:r>
          </w:p>
          <w:p>
            <w:pPr>
              <w:pStyle w:val="49"/>
              <w:widowControl/>
              <w:numPr>
                <w:ilvl w:val="0"/>
                <w:numId w:val="6"/>
              </w:numPr>
              <w:adjustRightInd w:val="0"/>
              <w:spacing w:line="0" w:lineRule="atLeast"/>
              <w:ind w:firstLineChars="0"/>
              <w:rPr>
                <w:rFonts w:ascii="微软雅黑" w:hAnsi="微软雅黑" w:eastAsia="微软雅黑"/>
                <w:szCs w:val="24"/>
              </w:rPr>
            </w:pPr>
            <w:r>
              <w:rPr>
                <w:rFonts w:hint="eastAsia" w:ascii="微软雅黑" w:hAnsi="微软雅黑" w:eastAsia="微软雅黑"/>
              </w:rPr>
              <w:t>用户ID、用户姓名与字典一致性。根据提供的接口文档来需要开发获取用户字典的服务,实现全自动与his系统同步更新。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85" w:type="dxa"/>
            <w:vAlign w:val="center"/>
          </w:tcPr>
          <w:p>
            <w:pPr>
              <w:widowControl/>
              <w:adjustRightInd w:val="0"/>
              <w:spacing w:line="360" w:lineRule="auto"/>
              <w:jc w:val="center"/>
              <w:rPr>
                <w:rFonts w:ascii="微软雅黑" w:hAnsi="微软雅黑" w:eastAsia="微软雅黑" w:cs="微软雅黑"/>
                <w:b/>
                <w:bCs/>
                <w:kern w:val="0"/>
                <w:szCs w:val="21"/>
              </w:rPr>
            </w:pPr>
            <w:r>
              <w:rPr>
                <w:rFonts w:ascii="微软雅黑" w:hAnsi="微软雅黑" w:eastAsia="微软雅黑" w:cs="微软雅黑"/>
                <w:b/>
                <w:bCs/>
                <w:kern w:val="0"/>
                <w:szCs w:val="21"/>
              </w:rPr>
              <w:t>1.3</w:t>
            </w:r>
          </w:p>
        </w:tc>
        <w:tc>
          <w:tcPr>
            <w:tcW w:w="1601" w:type="dxa"/>
            <w:shd w:val="clear" w:color="auto" w:fill="auto"/>
            <w:vAlign w:val="center"/>
          </w:tcPr>
          <w:p>
            <w:pPr>
              <w:widowControl/>
              <w:spacing w:line="0" w:lineRule="atLeast"/>
              <w:jc w:val="left"/>
              <w:rPr>
                <w:rFonts w:ascii="微软雅黑" w:hAnsi="微软雅黑" w:eastAsia="微软雅黑" w:cs="宋体"/>
                <w:kern w:val="0"/>
                <w:szCs w:val="21"/>
              </w:rPr>
            </w:pPr>
            <w:r>
              <w:rPr>
                <w:rFonts w:hint="eastAsia" w:ascii="微软雅黑" w:hAnsi="微软雅黑" w:eastAsia="微软雅黑" w:cs="宋体"/>
                <w:kern w:val="0"/>
                <w:szCs w:val="21"/>
              </w:rPr>
              <w:t>有效性：</w:t>
            </w:r>
          </w:p>
        </w:tc>
        <w:tc>
          <w:tcPr>
            <w:tcW w:w="6559" w:type="dxa"/>
            <w:shd w:val="clear" w:color="auto" w:fill="auto"/>
            <w:vAlign w:val="center"/>
          </w:tcPr>
          <w:p>
            <w:pPr>
              <w:pStyle w:val="49"/>
              <w:widowControl/>
              <w:numPr>
                <w:ilvl w:val="0"/>
                <w:numId w:val="7"/>
              </w:numPr>
              <w:adjustRightInd w:val="0"/>
              <w:spacing w:line="0" w:lineRule="atLeast"/>
              <w:ind w:firstLineChars="0"/>
              <w:rPr>
                <w:rFonts w:ascii="微软雅黑" w:hAnsi="微软雅黑" w:eastAsia="微软雅黑" w:cs="微软雅黑"/>
                <w:bCs/>
                <w:kern w:val="0"/>
                <w:szCs w:val="21"/>
              </w:rPr>
            </w:pPr>
            <w:r>
              <w:rPr>
                <w:rFonts w:hint="eastAsia" w:ascii="微软雅黑" w:hAnsi="微软雅黑" w:eastAsia="微软雅黑"/>
              </w:rPr>
              <w:t>报告审核医师有效性。并判断及处理特殊情况，骨密度没有审核医生，部分检查因特殊情况可能没做完。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85" w:type="dxa"/>
            <w:vAlign w:val="center"/>
          </w:tcPr>
          <w:p>
            <w:pPr>
              <w:widowControl/>
              <w:adjustRightInd w:val="0"/>
              <w:spacing w:line="360" w:lineRule="auto"/>
              <w:jc w:val="center"/>
              <w:rPr>
                <w:rFonts w:ascii="微软雅黑" w:hAnsi="微软雅黑" w:eastAsia="微软雅黑" w:cs="微软雅黑"/>
                <w:b/>
                <w:bCs/>
                <w:kern w:val="0"/>
                <w:szCs w:val="21"/>
              </w:rPr>
            </w:pPr>
            <w:r>
              <w:rPr>
                <w:rFonts w:ascii="微软雅黑" w:hAnsi="微软雅黑" w:eastAsia="微软雅黑" w:cs="微软雅黑"/>
                <w:b/>
                <w:bCs/>
                <w:kern w:val="0"/>
                <w:szCs w:val="21"/>
              </w:rPr>
              <w:t>1.4</w:t>
            </w:r>
          </w:p>
        </w:tc>
        <w:tc>
          <w:tcPr>
            <w:tcW w:w="1601" w:type="dxa"/>
            <w:shd w:val="clear" w:color="auto" w:fill="auto"/>
            <w:vAlign w:val="center"/>
          </w:tcPr>
          <w:p>
            <w:pPr>
              <w:widowControl/>
              <w:spacing w:line="0" w:lineRule="atLeast"/>
              <w:jc w:val="left"/>
              <w:rPr>
                <w:rFonts w:ascii="微软雅黑" w:hAnsi="微软雅黑" w:eastAsia="微软雅黑" w:cs="宋体"/>
                <w:kern w:val="0"/>
                <w:szCs w:val="21"/>
              </w:rPr>
            </w:pPr>
            <w:r>
              <w:rPr>
                <w:rFonts w:hint="eastAsia" w:ascii="微软雅黑" w:hAnsi="微软雅黑" w:eastAsia="微软雅黑" w:cs="宋体"/>
                <w:kern w:val="0"/>
                <w:szCs w:val="21"/>
              </w:rPr>
              <w:t>完善优化：</w:t>
            </w:r>
          </w:p>
        </w:tc>
        <w:tc>
          <w:tcPr>
            <w:tcW w:w="6559" w:type="dxa"/>
            <w:shd w:val="clear" w:color="auto" w:fill="auto"/>
            <w:vAlign w:val="center"/>
          </w:tcPr>
          <w:p>
            <w:pPr>
              <w:pStyle w:val="49"/>
              <w:widowControl/>
              <w:numPr>
                <w:ilvl w:val="0"/>
                <w:numId w:val="8"/>
              </w:numPr>
              <w:adjustRightInd w:val="0"/>
              <w:spacing w:line="0" w:lineRule="atLeast"/>
              <w:ind w:firstLineChars="0"/>
              <w:rPr>
                <w:rFonts w:ascii="微软雅黑" w:hAnsi="微软雅黑" w:eastAsia="微软雅黑"/>
              </w:rPr>
            </w:pPr>
            <w:r>
              <w:rPr>
                <w:rFonts w:hint="eastAsia" w:ascii="微软雅黑" w:hAnsi="微软雅黑" w:eastAsia="微软雅黑"/>
              </w:rPr>
              <w:t>核医学结果查询列表界面：增加悬浮框显示目前检查申请各阶段时间和状态以及执行人。</w:t>
            </w:r>
          </w:p>
          <w:p>
            <w:pPr>
              <w:pStyle w:val="49"/>
              <w:widowControl/>
              <w:numPr>
                <w:ilvl w:val="0"/>
                <w:numId w:val="8"/>
              </w:numPr>
              <w:adjustRightInd w:val="0"/>
              <w:spacing w:line="0" w:lineRule="atLeast"/>
              <w:ind w:firstLineChars="0"/>
              <w:rPr>
                <w:rFonts w:ascii="微软雅黑" w:hAnsi="微软雅黑" w:eastAsia="微软雅黑"/>
              </w:rPr>
            </w:pPr>
            <w:r>
              <w:rPr>
                <w:rFonts w:hint="eastAsia" w:ascii="微软雅黑" w:hAnsi="微软雅黑" w:eastAsia="微软雅黑"/>
              </w:rPr>
              <w:t>核医学系统按BS004消息回传以下节点执行人执行时间（已预约、已登记、报告提交、审核发布、报告撤回）。</w:t>
            </w:r>
          </w:p>
          <w:p>
            <w:pPr>
              <w:pStyle w:val="49"/>
              <w:widowControl/>
              <w:numPr>
                <w:ilvl w:val="0"/>
                <w:numId w:val="8"/>
              </w:numPr>
              <w:adjustRightInd w:val="0"/>
              <w:spacing w:line="0" w:lineRule="atLeast"/>
              <w:ind w:firstLineChars="0"/>
              <w:rPr>
                <w:rFonts w:ascii="微软雅黑" w:hAnsi="微软雅黑" w:eastAsia="微软雅黑"/>
              </w:rPr>
            </w:pPr>
            <w:r>
              <w:rPr>
                <w:rFonts w:hint="eastAsia" w:ascii="微软雅黑" w:hAnsi="微软雅黑" w:eastAsia="微软雅黑"/>
              </w:rPr>
              <w:t>核医学报告撤回后，核医学报告查询界面不可查看该，只有报告处于审核发布状态，才可查看报告内容。</w:t>
            </w:r>
          </w:p>
          <w:p>
            <w:pPr>
              <w:pStyle w:val="49"/>
              <w:widowControl/>
              <w:numPr>
                <w:ilvl w:val="0"/>
                <w:numId w:val="8"/>
              </w:numPr>
              <w:adjustRightInd w:val="0"/>
              <w:spacing w:line="0" w:lineRule="atLeast"/>
              <w:ind w:firstLineChars="0"/>
              <w:rPr>
                <w:rFonts w:ascii="微软雅黑" w:hAnsi="微软雅黑" w:eastAsia="微软雅黑"/>
              </w:rPr>
            </w:pPr>
            <w:r>
              <w:rPr>
                <w:rFonts w:hint="eastAsia" w:ascii="微软雅黑" w:hAnsi="微软雅黑" w:eastAsia="微软雅黑"/>
              </w:rPr>
              <w:t>核医学系统在检查记录界面增加状态列更新显示检查进展状态（申请、预约、登记、报告提交、审核发布、报告撤回），鼠标定在状态名称以悬浮框的形式显示所有流程节点信息。</w:t>
            </w:r>
          </w:p>
          <w:p>
            <w:pPr>
              <w:pStyle w:val="49"/>
              <w:widowControl/>
              <w:numPr>
                <w:ilvl w:val="0"/>
                <w:numId w:val="8"/>
              </w:numPr>
              <w:adjustRightInd w:val="0"/>
              <w:spacing w:line="0" w:lineRule="atLeast"/>
              <w:ind w:firstLineChars="0"/>
              <w:rPr>
                <w:rFonts w:ascii="微软雅黑" w:hAnsi="微软雅黑" w:eastAsia="微软雅黑"/>
              </w:rPr>
            </w:pPr>
            <w:r>
              <w:rPr>
                <w:rFonts w:hint="eastAsia" w:ascii="微软雅黑" w:hAnsi="微软雅黑" w:eastAsia="微软雅黑"/>
              </w:rPr>
              <w:t>核医学系统按检查报告消息回传结构化报告数据（测量值、参考范围、异常标记）。</w:t>
            </w:r>
          </w:p>
          <w:p>
            <w:pPr>
              <w:pStyle w:val="49"/>
              <w:widowControl/>
              <w:numPr>
                <w:ilvl w:val="0"/>
                <w:numId w:val="8"/>
              </w:numPr>
              <w:adjustRightInd w:val="0"/>
              <w:spacing w:line="0" w:lineRule="atLeast"/>
              <w:ind w:firstLineChars="0"/>
              <w:rPr>
                <w:rFonts w:ascii="微软雅黑" w:hAnsi="微软雅黑" w:eastAsia="微软雅黑"/>
              </w:rPr>
            </w:pPr>
            <w:r>
              <w:rPr>
                <w:rFonts w:hint="eastAsia" w:ascii="微软雅黑" w:hAnsi="微软雅黑" w:eastAsia="微软雅黑"/>
              </w:rPr>
              <w:t>核医学系统按危急值消息回传危急值发出时间和发出人。</w:t>
            </w:r>
          </w:p>
          <w:p>
            <w:pPr>
              <w:pStyle w:val="49"/>
              <w:widowControl/>
              <w:numPr>
                <w:ilvl w:val="0"/>
                <w:numId w:val="8"/>
              </w:numPr>
              <w:adjustRightInd w:val="0"/>
              <w:spacing w:line="0" w:lineRule="atLeast"/>
              <w:ind w:firstLineChars="0"/>
              <w:rPr>
                <w:rFonts w:ascii="微软雅黑" w:hAnsi="微软雅黑" w:eastAsia="微软雅黑"/>
              </w:rPr>
            </w:pPr>
            <w:r>
              <w:rPr>
                <w:rFonts w:hint="eastAsia" w:ascii="微软雅黑" w:hAnsi="微软雅黑" w:eastAsia="微软雅黑"/>
              </w:rPr>
              <w:t>核医学系统危急值查询报表增加发出时间和发出人。</w:t>
            </w:r>
          </w:p>
          <w:p>
            <w:pPr>
              <w:pStyle w:val="49"/>
              <w:widowControl/>
              <w:numPr>
                <w:ilvl w:val="0"/>
                <w:numId w:val="8"/>
              </w:numPr>
              <w:adjustRightInd w:val="0"/>
              <w:spacing w:line="0" w:lineRule="atLeast"/>
              <w:ind w:firstLineChars="0"/>
              <w:rPr>
                <w:rFonts w:ascii="微软雅黑" w:hAnsi="微软雅黑" w:eastAsia="微软雅黑"/>
              </w:rPr>
            </w:pPr>
            <w:r>
              <w:rPr>
                <w:rFonts w:hint="eastAsia" w:ascii="微软雅黑" w:hAnsi="微软雅黑" w:eastAsia="微软雅黑"/>
              </w:rPr>
              <w:t>核医学系统报到登记时产生一个二维码做为核查依据，并病人进检查室时扫码核查。</w:t>
            </w:r>
          </w:p>
          <w:p>
            <w:pPr>
              <w:pStyle w:val="49"/>
              <w:widowControl/>
              <w:numPr>
                <w:ilvl w:val="0"/>
                <w:numId w:val="8"/>
              </w:numPr>
              <w:adjustRightInd w:val="0"/>
              <w:spacing w:line="0" w:lineRule="atLeast"/>
              <w:ind w:firstLineChars="0"/>
              <w:rPr>
                <w:rFonts w:ascii="微软雅黑" w:hAnsi="微软雅黑" w:eastAsia="微软雅黑"/>
              </w:rPr>
            </w:pPr>
            <w:r>
              <w:rPr>
                <w:rFonts w:hint="eastAsia" w:ascii="微软雅黑" w:hAnsi="微软雅黑" w:eastAsia="微软雅黑"/>
              </w:rPr>
              <w:t>核医学系统的报告模板支持结构化元素可下拉选择，提供参考值的下拉框选择、提供关键词汇的下拉框选择。</w:t>
            </w:r>
          </w:p>
          <w:p>
            <w:pPr>
              <w:pStyle w:val="49"/>
              <w:widowControl/>
              <w:numPr>
                <w:ilvl w:val="0"/>
                <w:numId w:val="8"/>
              </w:numPr>
              <w:adjustRightInd w:val="0"/>
              <w:spacing w:line="0" w:lineRule="atLeast"/>
              <w:ind w:firstLineChars="0"/>
              <w:rPr>
                <w:rFonts w:ascii="微软雅黑" w:hAnsi="微软雅黑" w:eastAsia="微软雅黑"/>
              </w:rPr>
            </w:pPr>
            <w:r>
              <w:rPr>
                <w:rFonts w:hint="eastAsia" w:ascii="微软雅黑" w:hAnsi="微软雅黑" w:eastAsia="微软雅黑"/>
              </w:rPr>
              <w:t>核医学系统书写报告录入测量值时，提供常规数值选择录入，也支持自定义录入数值，当录入的数值超过人类合理数值弹框提醒，不允录入。</w:t>
            </w:r>
          </w:p>
          <w:p>
            <w:pPr>
              <w:pStyle w:val="49"/>
              <w:widowControl/>
              <w:numPr>
                <w:ilvl w:val="0"/>
                <w:numId w:val="8"/>
              </w:numPr>
              <w:adjustRightInd w:val="0"/>
              <w:spacing w:line="0" w:lineRule="atLeast"/>
              <w:ind w:firstLineChars="0"/>
              <w:rPr>
                <w:rFonts w:ascii="微软雅黑" w:hAnsi="微软雅黑" w:eastAsia="微软雅黑"/>
              </w:rPr>
            </w:pPr>
            <w:r>
              <w:rPr>
                <w:rFonts w:hint="eastAsia" w:ascii="微软雅黑" w:hAnsi="微软雅黑" w:eastAsia="微软雅黑"/>
              </w:rPr>
              <w:t>核医学系统增加报告书写内容与性别冲突的提醒功能。</w:t>
            </w:r>
          </w:p>
          <w:p>
            <w:pPr>
              <w:pStyle w:val="49"/>
              <w:widowControl/>
              <w:numPr>
                <w:ilvl w:val="0"/>
                <w:numId w:val="8"/>
              </w:numPr>
              <w:adjustRightInd w:val="0"/>
              <w:spacing w:line="0" w:lineRule="atLeast"/>
              <w:ind w:firstLineChars="0"/>
              <w:rPr>
                <w:rFonts w:ascii="微软雅黑" w:hAnsi="微软雅黑" w:eastAsia="微软雅黑"/>
              </w:rPr>
            </w:pPr>
            <w:r>
              <w:rPr>
                <w:rFonts w:hint="eastAsia" w:ascii="微软雅黑" w:hAnsi="微软雅黑" w:eastAsia="微软雅黑"/>
              </w:rPr>
              <w:t>核医学系统对接HIS系统，获取患者的诊断、主诉、现病史数据。</w:t>
            </w:r>
          </w:p>
          <w:p>
            <w:pPr>
              <w:pStyle w:val="49"/>
              <w:widowControl/>
              <w:numPr>
                <w:ilvl w:val="0"/>
                <w:numId w:val="8"/>
              </w:numPr>
              <w:adjustRightInd w:val="0"/>
              <w:spacing w:line="0" w:lineRule="atLeast"/>
              <w:ind w:firstLineChars="0"/>
              <w:rPr>
                <w:rFonts w:ascii="微软雅黑" w:hAnsi="微软雅黑" w:eastAsia="微软雅黑"/>
              </w:rPr>
            </w:pPr>
            <w:r>
              <w:rPr>
                <w:rFonts w:hint="eastAsia" w:ascii="微软雅黑" w:hAnsi="微软雅黑" w:eastAsia="微软雅黑"/>
              </w:rPr>
              <w:t>核医学系统增加“临床信息”功能按钮，书写报告点击可弹出小框展示患者的诊断、主诉、现病史信息，勾选或者选择内容点击“插入”可将内容插入到报告鼠标指定位置。</w:t>
            </w:r>
          </w:p>
          <w:p>
            <w:pPr>
              <w:pStyle w:val="49"/>
              <w:widowControl/>
              <w:numPr>
                <w:ilvl w:val="0"/>
                <w:numId w:val="8"/>
              </w:numPr>
              <w:adjustRightInd w:val="0"/>
              <w:spacing w:line="0" w:lineRule="atLeast"/>
              <w:ind w:firstLineChars="0"/>
              <w:rPr>
                <w:rFonts w:ascii="微软雅黑" w:hAnsi="微软雅黑" w:eastAsia="微软雅黑"/>
              </w:rPr>
            </w:pPr>
            <w:r>
              <w:rPr>
                <w:rFonts w:hint="eastAsia" w:ascii="微软雅黑" w:hAnsi="微软雅黑" w:eastAsia="微软雅黑"/>
              </w:rPr>
              <w:t>CDR通过接口开放检验检查报告数据，各检查系统实现检验检查结果插入报告的功能，可参考书写病历引用检验检查数据。</w:t>
            </w:r>
          </w:p>
          <w:p>
            <w:pPr>
              <w:pStyle w:val="49"/>
              <w:widowControl/>
              <w:numPr>
                <w:ilvl w:val="0"/>
                <w:numId w:val="8"/>
              </w:numPr>
              <w:adjustRightInd w:val="0"/>
              <w:spacing w:line="0" w:lineRule="atLeast"/>
              <w:ind w:firstLineChars="0"/>
              <w:rPr>
                <w:rFonts w:ascii="微软雅黑" w:hAnsi="微软雅黑" w:eastAsia="微软雅黑"/>
              </w:rPr>
            </w:pPr>
            <w:r>
              <w:rPr>
                <w:rFonts w:hint="eastAsia" w:ascii="微软雅黑" w:hAnsi="微软雅黑" w:eastAsia="微软雅黑"/>
              </w:rPr>
              <w:t>核医学系统在检查列表中添加主诉、现病史过内容。</w:t>
            </w:r>
          </w:p>
          <w:p>
            <w:pPr>
              <w:pStyle w:val="49"/>
              <w:widowControl/>
              <w:numPr>
                <w:ilvl w:val="0"/>
                <w:numId w:val="8"/>
              </w:numPr>
              <w:adjustRightInd w:val="0"/>
              <w:spacing w:line="0" w:lineRule="atLeast"/>
              <w:ind w:firstLineChars="0"/>
              <w:rPr>
                <w:rFonts w:ascii="微软雅黑" w:hAnsi="微软雅黑" w:eastAsia="微软雅黑"/>
              </w:rPr>
            </w:pPr>
            <w:r>
              <w:rPr>
                <w:rFonts w:hint="eastAsia" w:ascii="微软雅黑" w:hAnsi="微软雅黑" w:eastAsia="微软雅黑"/>
              </w:rPr>
              <w:t>核医学系统记录保存用户的所有操作行为，并提供操作日志查看功能。</w:t>
            </w:r>
          </w:p>
          <w:p>
            <w:pPr>
              <w:pStyle w:val="49"/>
              <w:widowControl/>
              <w:numPr>
                <w:ilvl w:val="0"/>
                <w:numId w:val="8"/>
              </w:numPr>
              <w:adjustRightInd w:val="0"/>
              <w:spacing w:line="0" w:lineRule="atLeast"/>
              <w:ind w:firstLineChars="0"/>
              <w:rPr>
                <w:rFonts w:ascii="微软雅黑" w:hAnsi="微软雅黑" w:eastAsia="微软雅黑"/>
              </w:rPr>
            </w:pPr>
            <w:r>
              <w:rPr>
                <w:rFonts w:hint="eastAsia" w:ascii="微软雅黑" w:hAnsi="微软雅黑" w:eastAsia="微软雅黑"/>
              </w:rPr>
              <w:t>核医学系统增加电子图像导入功能，并可与患者检查记录关联整合。</w:t>
            </w:r>
          </w:p>
          <w:p>
            <w:pPr>
              <w:pStyle w:val="49"/>
              <w:widowControl/>
              <w:numPr>
                <w:ilvl w:val="0"/>
                <w:numId w:val="8"/>
              </w:numPr>
              <w:adjustRightInd w:val="0"/>
              <w:spacing w:line="0" w:lineRule="atLeast"/>
              <w:ind w:firstLineChars="0"/>
              <w:rPr>
                <w:rFonts w:ascii="微软雅黑" w:hAnsi="微软雅黑" w:eastAsia="微软雅黑"/>
              </w:rPr>
            </w:pPr>
            <w:r>
              <w:rPr>
                <w:rFonts w:hint="eastAsia" w:ascii="微软雅黑" w:hAnsi="微软雅黑" w:eastAsia="微软雅黑"/>
              </w:rPr>
              <w:t>核医学医生梳理测量值的范围，给工程师做极限值提醒，即报告医生输入的测量值超过范围值，保存报告时提醒报告医生。</w:t>
            </w:r>
          </w:p>
          <w:p>
            <w:pPr>
              <w:pStyle w:val="49"/>
              <w:widowControl/>
              <w:numPr>
                <w:ilvl w:val="0"/>
                <w:numId w:val="8"/>
              </w:numPr>
              <w:adjustRightInd w:val="0"/>
              <w:spacing w:line="0" w:lineRule="atLeast"/>
              <w:ind w:firstLineChars="0"/>
              <w:rPr>
                <w:rFonts w:ascii="微软雅黑" w:hAnsi="微软雅黑" w:eastAsia="微软雅黑"/>
              </w:rPr>
            </w:pPr>
            <w:r>
              <w:rPr>
                <w:rFonts w:hint="eastAsia" w:ascii="微软雅黑" w:hAnsi="微软雅黑" w:eastAsia="微软雅黑"/>
              </w:rPr>
              <w:t>核医学现在不能将临床信息引用到报告里面，应该在书写报告的区域增加引用按钮，现在在检查记录右击操作不方便</w:t>
            </w:r>
          </w:p>
          <w:p>
            <w:pPr>
              <w:pStyle w:val="49"/>
              <w:widowControl/>
              <w:numPr>
                <w:ilvl w:val="0"/>
                <w:numId w:val="8"/>
              </w:numPr>
              <w:adjustRightInd w:val="0"/>
              <w:spacing w:line="0" w:lineRule="atLeast"/>
              <w:ind w:firstLineChars="0"/>
              <w:rPr>
                <w:rFonts w:ascii="微软雅黑" w:hAnsi="微软雅黑" w:eastAsia="微软雅黑"/>
              </w:rPr>
            </w:pPr>
            <w:r>
              <w:rPr>
                <w:rFonts w:hint="eastAsia" w:ascii="微软雅黑" w:hAnsi="微软雅黑" w:eastAsia="微软雅黑"/>
              </w:rPr>
              <w:t>核医学增加报告修改上下级医生权限控制功能，支持上级医生可修改下级医生的报告，同级医生不可互相修改报告。</w:t>
            </w:r>
          </w:p>
          <w:p>
            <w:pPr>
              <w:pStyle w:val="49"/>
              <w:widowControl/>
              <w:numPr>
                <w:ilvl w:val="0"/>
                <w:numId w:val="8"/>
              </w:numPr>
              <w:adjustRightInd w:val="0"/>
              <w:spacing w:line="0" w:lineRule="atLeast"/>
              <w:ind w:firstLineChars="0"/>
              <w:rPr>
                <w:rFonts w:ascii="微软雅黑" w:hAnsi="微软雅黑" w:eastAsia="微软雅黑"/>
              </w:rPr>
            </w:pPr>
            <w:r>
              <w:rPr>
                <w:rFonts w:hint="eastAsia" w:ascii="微软雅黑" w:hAnsi="微软雅黑" w:eastAsia="微软雅黑"/>
              </w:rPr>
              <w:t>在报告操作日志增加云融合图片的操作记录，可查看到每张云融合图片是谁在什么时候做的。</w:t>
            </w:r>
          </w:p>
          <w:p>
            <w:pPr>
              <w:pStyle w:val="49"/>
              <w:widowControl/>
              <w:numPr>
                <w:ilvl w:val="0"/>
                <w:numId w:val="8"/>
              </w:numPr>
              <w:adjustRightInd w:val="0"/>
              <w:spacing w:line="0" w:lineRule="atLeast"/>
              <w:ind w:firstLineChars="0"/>
              <w:rPr>
                <w:rFonts w:ascii="微软雅黑" w:hAnsi="微软雅黑" w:eastAsia="微软雅黑"/>
              </w:rPr>
            </w:pPr>
            <w:r>
              <w:rPr>
                <w:rFonts w:hint="eastAsia" w:ascii="微软雅黑" w:hAnsi="微软雅黑" w:eastAsia="微软雅黑"/>
              </w:rPr>
              <w:t>在核医学报告审核后，要将有标记注释的图像（云融合图像）推送给影像中心。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85" w:type="dxa"/>
            <w:vAlign w:val="center"/>
          </w:tcPr>
          <w:p>
            <w:pPr>
              <w:widowControl/>
              <w:numPr>
                <w:ilvl w:val="0"/>
                <w:numId w:val="4"/>
              </w:numPr>
              <w:adjustRightInd w:val="0"/>
              <w:spacing w:line="360" w:lineRule="auto"/>
              <w:jc w:val="center"/>
              <w:rPr>
                <w:rFonts w:ascii="微软雅黑" w:hAnsi="微软雅黑" w:eastAsia="微软雅黑" w:cs="微软雅黑"/>
                <w:b/>
                <w:bCs/>
                <w:kern w:val="0"/>
                <w:szCs w:val="21"/>
              </w:rPr>
            </w:pPr>
          </w:p>
        </w:tc>
        <w:tc>
          <w:tcPr>
            <w:tcW w:w="1601" w:type="dxa"/>
            <w:shd w:val="clear" w:color="auto" w:fill="auto"/>
            <w:vAlign w:val="center"/>
          </w:tcPr>
          <w:p>
            <w:pPr>
              <w:widowControl/>
              <w:spacing w:line="0" w:lineRule="atLeast"/>
              <w:jc w:val="left"/>
              <w:rPr>
                <w:rFonts w:ascii="微软雅黑" w:hAnsi="微软雅黑" w:eastAsia="微软雅黑" w:cs="宋体"/>
                <w:kern w:val="0"/>
                <w:szCs w:val="21"/>
              </w:rPr>
            </w:pPr>
            <w:r>
              <w:rPr>
                <w:rFonts w:hint="eastAsia" w:ascii="微软雅黑" w:hAnsi="微软雅黑" w:eastAsia="微软雅黑" w:cs="宋体"/>
                <w:kern w:val="0"/>
                <w:szCs w:val="21"/>
              </w:rPr>
              <w:t>对接病案系统核医学报告类开发</w:t>
            </w:r>
          </w:p>
        </w:tc>
        <w:tc>
          <w:tcPr>
            <w:tcW w:w="6559" w:type="dxa"/>
            <w:shd w:val="clear" w:color="auto" w:fill="auto"/>
            <w:vAlign w:val="center"/>
          </w:tcPr>
          <w:p>
            <w:pPr>
              <w:widowControl/>
              <w:adjustRightInd w:val="0"/>
              <w:snapToGrid w:val="0"/>
              <w:rPr>
                <w:rFonts w:ascii="微软雅黑" w:hAnsi="微软雅黑" w:eastAsia="微软雅黑" w:cs="微软雅黑"/>
                <w:bCs/>
                <w:kern w:val="0"/>
                <w:szCs w:val="21"/>
              </w:rPr>
            </w:pPr>
            <w:r>
              <w:rPr>
                <w:rFonts w:hint="eastAsia" w:ascii="微软雅黑" w:hAnsi="微软雅黑" w:eastAsia="微软雅黑" w:cs="微软雅黑"/>
                <w:bCs/>
                <w:kern w:val="0"/>
                <w:szCs w:val="21"/>
              </w:rPr>
              <w:t>按照病案对接归档的规范要求，开发核医学系统的对接归档接口，提供自动归档功能；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85" w:type="dxa"/>
            <w:vAlign w:val="center"/>
          </w:tcPr>
          <w:p>
            <w:pPr>
              <w:widowControl/>
              <w:adjustRightInd w:val="0"/>
              <w:spacing w:line="360" w:lineRule="auto"/>
              <w:jc w:val="center"/>
              <w:rPr>
                <w:rFonts w:ascii="微软雅黑" w:hAnsi="微软雅黑" w:eastAsia="微软雅黑" w:cs="微软雅黑"/>
                <w:b/>
                <w:bCs/>
                <w:kern w:val="0"/>
                <w:szCs w:val="21"/>
              </w:rPr>
            </w:pPr>
            <w:r>
              <w:rPr>
                <w:rFonts w:hint="eastAsia" w:ascii="微软雅黑" w:hAnsi="微软雅黑" w:eastAsia="微软雅黑" w:cs="微软雅黑"/>
                <w:b/>
                <w:bCs/>
                <w:kern w:val="0"/>
                <w:szCs w:val="21"/>
              </w:rPr>
              <w:t>2.1</w:t>
            </w:r>
          </w:p>
        </w:tc>
        <w:tc>
          <w:tcPr>
            <w:tcW w:w="1601" w:type="dxa"/>
            <w:shd w:val="clear" w:color="auto" w:fill="auto"/>
            <w:vAlign w:val="center"/>
          </w:tcPr>
          <w:p>
            <w:pPr>
              <w:widowControl/>
              <w:spacing w:line="0" w:lineRule="atLeast"/>
              <w:jc w:val="left"/>
              <w:rPr>
                <w:rFonts w:ascii="微软雅黑" w:hAnsi="微软雅黑" w:eastAsia="微软雅黑" w:cs="宋体"/>
                <w:kern w:val="0"/>
                <w:szCs w:val="21"/>
              </w:rPr>
            </w:pPr>
            <w:r>
              <w:rPr>
                <w:rFonts w:hint="eastAsia" w:ascii="微软雅黑" w:hAnsi="微软雅黑" w:eastAsia="微软雅黑" w:cs="宋体"/>
                <w:kern w:val="0"/>
                <w:szCs w:val="21"/>
              </w:rPr>
              <w:t>病案归档管理业务</w:t>
            </w:r>
          </w:p>
        </w:tc>
        <w:tc>
          <w:tcPr>
            <w:tcW w:w="6559" w:type="dxa"/>
            <w:shd w:val="clear" w:color="auto" w:fill="auto"/>
            <w:vAlign w:val="center"/>
          </w:tcPr>
          <w:p>
            <w:pPr>
              <w:pStyle w:val="49"/>
              <w:widowControl/>
              <w:numPr>
                <w:ilvl w:val="0"/>
                <w:numId w:val="9"/>
              </w:numPr>
              <w:adjustRightInd w:val="0"/>
              <w:snapToGrid w:val="0"/>
              <w:ind w:firstLineChars="0"/>
              <w:rPr>
                <w:rFonts w:ascii="微软雅黑" w:hAnsi="微软雅黑" w:eastAsia="微软雅黑" w:cs="微软雅黑"/>
                <w:bCs/>
                <w:kern w:val="0"/>
                <w:szCs w:val="21"/>
              </w:rPr>
            </w:pPr>
            <w:r>
              <w:rPr>
                <w:rFonts w:hint="eastAsia" w:ascii="微软雅黑" w:hAnsi="微软雅黑" w:eastAsia="微软雅黑" w:cs="微软雅黑"/>
                <w:bCs/>
                <w:kern w:val="0"/>
                <w:szCs w:val="21"/>
              </w:rPr>
              <w:t>在院归档：患者在院期间形成终版病历，即时上传病历给病案系统归档。包括各类检验、检查报告，以及在院病历封存等情况，该类情况以业务系统形成终版病历的结点触发系统归档上传。</w:t>
            </w:r>
          </w:p>
          <w:p>
            <w:pPr>
              <w:pStyle w:val="49"/>
              <w:widowControl/>
              <w:numPr>
                <w:ilvl w:val="0"/>
                <w:numId w:val="9"/>
              </w:numPr>
              <w:adjustRightInd w:val="0"/>
              <w:snapToGrid w:val="0"/>
              <w:ind w:firstLineChars="0"/>
              <w:rPr>
                <w:rFonts w:ascii="微软雅黑" w:hAnsi="微软雅黑" w:eastAsia="微软雅黑" w:cs="微软雅黑"/>
                <w:bCs/>
                <w:kern w:val="0"/>
                <w:szCs w:val="21"/>
              </w:rPr>
            </w:pPr>
            <w:r>
              <w:rPr>
                <w:rFonts w:hint="eastAsia" w:ascii="微软雅黑" w:hAnsi="微软雅黑" w:eastAsia="微软雅黑" w:cs="微软雅黑"/>
                <w:bCs/>
                <w:kern w:val="0"/>
                <w:szCs w:val="21"/>
              </w:rPr>
              <w:t>出院归档：以病区患者批准出院触发归档通知，各业务系统以出院时间为该病历截止时间，筛查在院病历是否为经电子签名的最终版病历，提供未完善病历及归档时限提醒，按各业务需要提供手动或自动归档上传。如病区系统、内镜系统等以手动提交触发归档上传</w:t>
            </w:r>
          </w:p>
          <w:p>
            <w:pPr>
              <w:pStyle w:val="49"/>
              <w:widowControl/>
              <w:numPr>
                <w:ilvl w:val="0"/>
                <w:numId w:val="9"/>
              </w:numPr>
              <w:adjustRightInd w:val="0"/>
              <w:snapToGrid w:val="0"/>
              <w:ind w:firstLineChars="0"/>
              <w:rPr>
                <w:rFonts w:ascii="微软雅黑" w:hAnsi="微软雅黑" w:eastAsia="微软雅黑" w:cs="微软雅黑"/>
                <w:bCs/>
                <w:kern w:val="0"/>
                <w:szCs w:val="21"/>
              </w:rPr>
            </w:pPr>
            <w:r>
              <w:rPr>
                <w:rFonts w:hint="eastAsia" w:ascii="微软雅黑" w:hAnsi="微软雅黑" w:eastAsia="微软雅黑" w:cs="微软雅黑"/>
                <w:bCs/>
                <w:kern w:val="0"/>
                <w:szCs w:val="21"/>
              </w:rPr>
              <w:t>补充归档：提交出院归档时存在未完成病历，提交出院归档后仍可补充归档上传。按各业务需要提供手动或自动归档上传，该类情况适用于在院开单，出院后再做的检验和检查。</w:t>
            </w:r>
          </w:p>
          <w:p>
            <w:pPr>
              <w:pStyle w:val="49"/>
              <w:widowControl/>
              <w:numPr>
                <w:ilvl w:val="0"/>
                <w:numId w:val="9"/>
              </w:numPr>
              <w:adjustRightInd w:val="0"/>
              <w:snapToGrid w:val="0"/>
              <w:ind w:firstLineChars="0"/>
              <w:rPr>
                <w:rFonts w:ascii="微软雅黑" w:hAnsi="微软雅黑" w:eastAsia="微软雅黑" w:cs="微软雅黑"/>
                <w:bCs/>
                <w:kern w:val="0"/>
                <w:szCs w:val="21"/>
              </w:rPr>
            </w:pPr>
            <w:r>
              <w:rPr>
                <w:rFonts w:hint="eastAsia" w:ascii="微软雅黑" w:hAnsi="微软雅黑" w:eastAsia="微软雅黑" w:cs="微软雅黑"/>
                <w:bCs/>
                <w:kern w:val="0"/>
                <w:szCs w:val="21"/>
              </w:rPr>
              <w:t>封存归档：患者在院期间提出封存，由医务科通知各科对病历进行封存，封存必须打印终版病历提交病案科封装管理，封存病历部分在系统上不可修改。</w:t>
            </w:r>
          </w:p>
          <w:p>
            <w:pPr>
              <w:pStyle w:val="49"/>
              <w:widowControl/>
              <w:numPr>
                <w:ilvl w:val="0"/>
                <w:numId w:val="9"/>
              </w:numPr>
              <w:adjustRightInd w:val="0"/>
              <w:snapToGrid w:val="0"/>
              <w:ind w:firstLineChars="0"/>
              <w:rPr>
                <w:rFonts w:ascii="微软雅黑" w:hAnsi="微软雅黑" w:eastAsia="微软雅黑" w:cs="微软雅黑"/>
                <w:bCs/>
                <w:kern w:val="0"/>
                <w:szCs w:val="21"/>
              </w:rPr>
            </w:pPr>
            <w:r>
              <w:rPr>
                <w:rFonts w:hint="eastAsia" w:ascii="微软雅黑" w:hAnsi="微软雅黑" w:eastAsia="微软雅黑" w:cs="微软雅黑"/>
                <w:bCs/>
                <w:kern w:val="0"/>
                <w:szCs w:val="21"/>
              </w:rPr>
              <w:t>病历修改：各业务部门通过系统发起“修改申请”审批流程，通过后方可修改病历。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85" w:type="dxa"/>
            <w:vAlign w:val="center"/>
          </w:tcPr>
          <w:p>
            <w:pPr>
              <w:widowControl/>
              <w:adjustRightInd w:val="0"/>
              <w:spacing w:line="360" w:lineRule="auto"/>
              <w:jc w:val="center"/>
              <w:rPr>
                <w:rFonts w:ascii="微软雅黑" w:hAnsi="微软雅黑" w:eastAsia="微软雅黑" w:cs="微软雅黑"/>
                <w:b/>
                <w:bCs/>
                <w:kern w:val="0"/>
                <w:szCs w:val="21"/>
              </w:rPr>
            </w:pPr>
            <w:r>
              <w:rPr>
                <w:rFonts w:ascii="微软雅黑" w:hAnsi="微软雅黑" w:eastAsia="微软雅黑" w:cs="微软雅黑"/>
                <w:b/>
                <w:bCs/>
                <w:kern w:val="0"/>
                <w:szCs w:val="21"/>
              </w:rPr>
              <w:t>2.2</w:t>
            </w:r>
          </w:p>
        </w:tc>
        <w:tc>
          <w:tcPr>
            <w:tcW w:w="1601" w:type="dxa"/>
            <w:shd w:val="clear" w:color="auto" w:fill="auto"/>
            <w:vAlign w:val="center"/>
          </w:tcPr>
          <w:p>
            <w:pPr>
              <w:widowControl/>
              <w:spacing w:line="0" w:lineRule="atLeast"/>
              <w:jc w:val="left"/>
              <w:rPr>
                <w:rFonts w:ascii="微软雅黑" w:hAnsi="微软雅黑" w:eastAsia="微软雅黑" w:cs="宋体"/>
                <w:kern w:val="0"/>
                <w:szCs w:val="21"/>
              </w:rPr>
            </w:pPr>
            <w:r>
              <w:rPr>
                <w:rFonts w:hint="eastAsia" w:ascii="微软雅黑" w:hAnsi="微软雅黑" w:eastAsia="微软雅黑" w:cs="宋体"/>
                <w:kern w:val="0"/>
                <w:szCs w:val="21"/>
              </w:rPr>
              <w:t>病案归档管理流程</w:t>
            </w:r>
          </w:p>
        </w:tc>
        <w:tc>
          <w:tcPr>
            <w:tcW w:w="6559" w:type="dxa"/>
            <w:shd w:val="clear" w:color="auto" w:fill="auto"/>
            <w:vAlign w:val="center"/>
          </w:tcPr>
          <w:p>
            <w:pPr>
              <w:pStyle w:val="49"/>
              <w:widowControl/>
              <w:numPr>
                <w:ilvl w:val="0"/>
                <w:numId w:val="10"/>
              </w:numPr>
              <w:adjustRightInd w:val="0"/>
              <w:snapToGrid w:val="0"/>
              <w:ind w:firstLineChars="0"/>
              <w:rPr>
                <w:rFonts w:ascii="微软雅黑" w:hAnsi="微软雅黑" w:eastAsia="微软雅黑" w:cs="微软雅黑"/>
                <w:bCs/>
                <w:kern w:val="0"/>
                <w:szCs w:val="21"/>
              </w:rPr>
            </w:pPr>
            <w:r>
              <w:rPr>
                <w:rFonts w:hint="eastAsia" w:ascii="微软雅黑" w:hAnsi="微软雅黑" w:eastAsia="微软雅黑" w:cs="微软雅黑"/>
                <w:bCs/>
                <w:kern w:val="0"/>
                <w:szCs w:val="21"/>
              </w:rPr>
              <w:t>出院通知：病区系统批准出院时推送信息给病案系统，病案系统接收信息后通知各业务系统</w:t>
            </w:r>
          </w:p>
          <w:p>
            <w:pPr>
              <w:pStyle w:val="49"/>
              <w:widowControl/>
              <w:numPr>
                <w:ilvl w:val="0"/>
                <w:numId w:val="10"/>
              </w:numPr>
              <w:adjustRightInd w:val="0"/>
              <w:snapToGrid w:val="0"/>
              <w:ind w:firstLineChars="0"/>
              <w:rPr>
                <w:rFonts w:ascii="微软雅黑" w:hAnsi="微软雅黑" w:eastAsia="微软雅黑" w:cs="微软雅黑"/>
                <w:bCs/>
                <w:kern w:val="0"/>
                <w:szCs w:val="21"/>
              </w:rPr>
            </w:pPr>
            <w:r>
              <w:rPr>
                <w:rFonts w:hint="eastAsia" w:ascii="微软雅黑" w:hAnsi="微软雅黑" w:eastAsia="微软雅黑" w:cs="微软雅黑"/>
                <w:bCs/>
                <w:kern w:val="0"/>
                <w:szCs w:val="21"/>
              </w:rPr>
              <w:t>各业务系统获取通知信息，对于出院归档通知，判断本系统是否存在该住院ID病历，如无则调用关闭接口；如有则记录（出院/封存）日期，当前日期大于归档日期时，调用归档明细接口将该住院ID所有病历文书明细上传病案系统</w:t>
            </w:r>
          </w:p>
          <w:p>
            <w:pPr>
              <w:pStyle w:val="49"/>
              <w:widowControl/>
              <w:numPr>
                <w:ilvl w:val="0"/>
                <w:numId w:val="10"/>
              </w:numPr>
              <w:adjustRightInd w:val="0"/>
              <w:snapToGrid w:val="0"/>
              <w:ind w:firstLineChars="0"/>
              <w:rPr>
                <w:rFonts w:ascii="微软雅黑" w:hAnsi="微软雅黑" w:eastAsia="微软雅黑" w:cs="微软雅黑"/>
                <w:bCs/>
                <w:kern w:val="0"/>
                <w:szCs w:val="21"/>
              </w:rPr>
            </w:pPr>
            <w:r>
              <w:rPr>
                <w:rFonts w:hint="eastAsia" w:ascii="微软雅黑" w:hAnsi="微软雅黑" w:eastAsia="微软雅黑" w:cs="微软雅黑"/>
                <w:bCs/>
                <w:kern w:val="0"/>
                <w:szCs w:val="21"/>
              </w:rPr>
              <w:t>各业务系统定时或病历最后版确认时，对需归档病历进行判断是否已完成电子签名且为最终版病历（报告）方可调用归档文书上传接口上传病历。</w:t>
            </w:r>
          </w:p>
          <w:p>
            <w:pPr>
              <w:pStyle w:val="49"/>
              <w:widowControl/>
              <w:numPr>
                <w:ilvl w:val="0"/>
                <w:numId w:val="10"/>
              </w:numPr>
              <w:adjustRightInd w:val="0"/>
              <w:snapToGrid w:val="0"/>
              <w:ind w:firstLineChars="0"/>
              <w:rPr>
                <w:rFonts w:ascii="微软雅黑" w:hAnsi="微软雅黑" w:eastAsia="微软雅黑" w:cs="微软雅黑"/>
                <w:bCs/>
                <w:kern w:val="0"/>
                <w:szCs w:val="21"/>
              </w:rPr>
            </w:pPr>
            <w:r>
              <w:rPr>
                <w:rFonts w:hint="eastAsia" w:ascii="微软雅黑" w:hAnsi="微软雅黑" w:eastAsia="微软雅黑" w:cs="微软雅黑"/>
                <w:bCs/>
                <w:kern w:val="0"/>
                <w:szCs w:val="21"/>
              </w:rPr>
              <w:t>病案系统对各业务系统归档病历进行验签，如验签不通过则业务系统记录验签失败；如验签通过则置病历状态为”锁定“</w:t>
            </w:r>
          </w:p>
          <w:p>
            <w:pPr>
              <w:pStyle w:val="49"/>
              <w:widowControl/>
              <w:numPr>
                <w:ilvl w:val="0"/>
                <w:numId w:val="10"/>
              </w:numPr>
              <w:adjustRightInd w:val="0"/>
              <w:snapToGrid w:val="0"/>
              <w:ind w:firstLineChars="0"/>
              <w:rPr>
                <w:rFonts w:ascii="微软雅黑" w:hAnsi="微软雅黑" w:eastAsia="微软雅黑" w:cs="微软雅黑"/>
                <w:bCs/>
                <w:kern w:val="0"/>
                <w:szCs w:val="21"/>
              </w:rPr>
            </w:pPr>
            <w:r>
              <w:rPr>
                <w:rFonts w:hint="eastAsia" w:ascii="微软雅黑" w:hAnsi="微软雅黑" w:eastAsia="微软雅黑" w:cs="微软雅黑"/>
                <w:bCs/>
                <w:kern w:val="0"/>
                <w:szCs w:val="21"/>
              </w:rPr>
              <w:t>各业务系统对最终版病历进行修改时，需判断病历状态，如为锁定，则不允许编辑，如状态为未归档或解锁则可编辑。</w:t>
            </w:r>
          </w:p>
          <w:p>
            <w:pPr>
              <w:pStyle w:val="49"/>
              <w:widowControl/>
              <w:numPr>
                <w:ilvl w:val="0"/>
                <w:numId w:val="10"/>
              </w:numPr>
              <w:adjustRightInd w:val="0"/>
              <w:snapToGrid w:val="0"/>
              <w:ind w:firstLineChars="0"/>
              <w:rPr>
                <w:rFonts w:ascii="微软雅黑" w:hAnsi="微软雅黑" w:eastAsia="微软雅黑" w:cs="微软雅黑"/>
                <w:bCs/>
                <w:kern w:val="0"/>
                <w:szCs w:val="21"/>
              </w:rPr>
            </w:pPr>
            <w:r>
              <w:rPr>
                <w:rFonts w:hint="eastAsia" w:ascii="微软雅黑" w:hAnsi="微软雅黑" w:eastAsia="微软雅黑" w:cs="微软雅黑"/>
                <w:bCs/>
                <w:kern w:val="0"/>
                <w:szCs w:val="21"/>
              </w:rPr>
              <w:t>各业务系统通过链接病案系统的”修改申请“，供业务系统操作人员发起修改申请，申请通过后，由病案系统推送归档病历置状态为”解锁“。</w:t>
            </w:r>
          </w:p>
          <w:p>
            <w:pPr>
              <w:pStyle w:val="49"/>
              <w:widowControl/>
              <w:numPr>
                <w:ilvl w:val="0"/>
                <w:numId w:val="10"/>
              </w:numPr>
              <w:adjustRightInd w:val="0"/>
              <w:snapToGrid w:val="0"/>
              <w:ind w:firstLineChars="0"/>
              <w:rPr>
                <w:rFonts w:ascii="微软雅黑" w:hAnsi="微软雅黑" w:eastAsia="微软雅黑" w:cs="微软雅黑"/>
                <w:bCs/>
                <w:kern w:val="0"/>
                <w:szCs w:val="21"/>
              </w:rPr>
            </w:pPr>
            <w:r>
              <w:rPr>
                <w:rFonts w:hint="eastAsia" w:ascii="微软雅黑" w:hAnsi="微软雅黑" w:eastAsia="微软雅黑" w:cs="微软雅黑"/>
                <w:bCs/>
                <w:kern w:val="0"/>
                <w:szCs w:val="21"/>
              </w:rPr>
              <w:t>封存病历：在院封存病历与出院归档类同，由HIS推送病案系统，病案系统通知各业务系统，各业务系统判断是否存在该住院ID文书调用病案系统接口上传明细及文书并置已上传文书为“锁定”状态。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85" w:type="dxa"/>
            <w:vAlign w:val="center"/>
          </w:tcPr>
          <w:p>
            <w:pPr>
              <w:widowControl/>
              <w:adjustRightInd w:val="0"/>
              <w:spacing w:line="360" w:lineRule="auto"/>
              <w:jc w:val="center"/>
              <w:rPr>
                <w:rFonts w:ascii="微软雅黑" w:hAnsi="微软雅黑" w:eastAsia="微软雅黑" w:cs="微软雅黑"/>
                <w:b/>
                <w:bCs/>
                <w:kern w:val="0"/>
                <w:szCs w:val="21"/>
              </w:rPr>
            </w:pPr>
            <w:r>
              <w:rPr>
                <w:rFonts w:hint="eastAsia" w:ascii="微软雅黑" w:hAnsi="微软雅黑" w:eastAsia="微软雅黑" w:cs="微软雅黑"/>
                <w:b/>
                <w:bCs/>
                <w:kern w:val="0"/>
                <w:szCs w:val="21"/>
              </w:rPr>
              <w:t>2.3</w:t>
            </w:r>
          </w:p>
        </w:tc>
        <w:tc>
          <w:tcPr>
            <w:tcW w:w="1601" w:type="dxa"/>
            <w:shd w:val="clear" w:color="auto" w:fill="auto"/>
            <w:vAlign w:val="center"/>
          </w:tcPr>
          <w:p>
            <w:pPr>
              <w:widowControl/>
              <w:spacing w:line="0" w:lineRule="atLeast"/>
              <w:jc w:val="left"/>
              <w:rPr>
                <w:rFonts w:ascii="微软雅黑" w:hAnsi="微软雅黑" w:eastAsia="微软雅黑" w:cs="宋体"/>
                <w:kern w:val="0"/>
                <w:szCs w:val="21"/>
              </w:rPr>
            </w:pPr>
            <w:r>
              <w:rPr>
                <w:rFonts w:hint="eastAsia" w:ascii="微软雅黑" w:hAnsi="微软雅黑" w:eastAsia="微软雅黑" w:cs="宋体"/>
                <w:kern w:val="0"/>
                <w:szCs w:val="21"/>
              </w:rPr>
              <w:t>接口及功能需求</w:t>
            </w:r>
          </w:p>
        </w:tc>
        <w:tc>
          <w:tcPr>
            <w:tcW w:w="6559" w:type="dxa"/>
            <w:shd w:val="clear" w:color="auto" w:fill="auto"/>
            <w:vAlign w:val="center"/>
          </w:tcPr>
          <w:p>
            <w:pPr>
              <w:pStyle w:val="49"/>
              <w:widowControl/>
              <w:numPr>
                <w:ilvl w:val="0"/>
                <w:numId w:val="11"/>
              </w:numPr>
              <w:adjustRightInd w:val="0"/>
              <w:snapToGrid w:val="0"/>
              <w:ind w:firstLineChars="0"/>
              <w:rPr>
                <w:rFonts w:ascii="微软雅黑" w:hAnsi="微软雅黑" w:eastAsia="微软雅黑" w:cs="微软雅黑"/>
                <w:bCs/>
                <w:kern w:val="0"/>
                <w:szCs w:val="21"/>
              </w:rPr>
            </w:pPr>
            <w:r>
              <w:rPr>
                <w:rFonts w:hint="eastAsia" w:ascii="微软雅黑" w:hAnsi="微软雅黑" w:eastAsia="微软雅黑" w:cs="微软雅黑"/>
                <w:bCs/>
                <w:kern w:val="0"/>
                <w:szCs w:val="21"/>
              </w:rPr>
              <w:t>提供上传归档数据到病案系统的服务。提供接收的webservice服务，由病案系统提供住院ID、归档日期业务系统提供接口格式详见《业务系统需要提供的接口》。</w:t>
            </w:r>
          </w:p>
          <w:p>
            <w:pPr>
              <w:pStyle w:val="49"/>
              <w:widowControl/>
              <w:numPr>
                <w:ilvl w:val="0"/>
                <w:numId w:val="11"/>
              </w:numPr>
              <w:adjustRightInd w:val="0"/>
              <w:snapToGrid w:val="0"/>
              <w:ind w:firstLineChars="0"/>
              <w:rPr>
                <w:rFonts w:ascii="微软雅黑" w:hAnsi="微软雅黑" w:eastAsia="微软雅黑" w:cs="微软雅黑"/>
                <w:bCs/>
                <w:kern w:val="0"/>
                <w:szCs w:val="21"/>
              </w:rPr>
            </w:pPr>
            <w:r>
              <w:rPr>
                <w:rFonts w:hint="eastAsia" w:ascii="微软雅黑" w:hAnsi="微软雅黑" w:eastAsia="微软雅黑" w:cs="微软雅黑"/>
                <w:bCs/>
                <w:kern w:val="0"/>
                <w:szCs w:val="21"/>
              </w:rPr>
              <w:t>提供文书的“解锁”接口。提供文书解锁的webservice服务。服务接收到住院ID、文书ID则解锁相应文书。</w:t>
            </w:r>
          </w:p>
          <w:p>
            <w:pPr>
              <w:pStyle w:val="49"/>
              <w:widowControl/>
              <w:numPr>
                <w:ilvl w:val="0"/>
                <w:numId w:val="11"/>
              </w:numPr>
              <w:adjustRightInd w:val="0"/>
              <w:snapToGrid w:val="0"/>
              <w:ind w:firstLineChars="0"/>
              <w:rPr>
                <w:rFonts w:ascii="微软雅黑" w:hAnsi="微软雅黑" w:eastAsia="微软雅黑" w:cs="微软雅黑"/>
                <w:bCs/>
                <w:kern w:val="0"/>
                <w:szCs w:val="21"/>
              </w:rPr>
            </w:pPr>
            <w:r>
              <w:rPr>
                <w:rFonts w:hint="eastAsia" w:ascii="微软雅黑" w:hAnsi="微软雅黑" w:eastAsia="微软雅黑" w:cs="微软雅黑"/>
                <w:bCs/>
                <w:kern w:val="0"/>
                <w:szCs w:val="21"/>
              </w:rPr>
              <w:t>归档问题提醒。业务系统提供待归档问题病历的提醒功能，列出归档通知、超期归档（业务系统自行判断）、验签失败等病案推送信息。</w:t>
            </w:r>
          </w:p>
          <w:p>
            <w:pPr>
              <w:pStyle w:val="49"/>
              <w:widowControl/>
              <w:numPr>
                <w:ilvl w:val="0"/>
                <w:numId w:val="11"/>
              </w:numPr>
              <w:adjustRightInd w:val="0"/>
              <w:snapToGrid w:val="0"/>
              <w:ind w:firstLineChars="0"/>
              <w:rPr>
                <w:rFonts w:ascii="微软雅黑" w:hAnsi="微软雅黑" w:eastAsia="微软雅黑" w:cs="微软雅黑"/>
                <w:bCs/>
                <w:kern w:val="0"/>
                <w:szCs w:val="21"/>
              </w:rPr>
            </w:pPr>
            <w:r>
              <w:rPr>
                <w:rFonts w:hint="eastAsia" w:ascii="微软雅黑" w:hAnsi="微软雅黑" w:eastAsia="微软雅黑" w:cs="微软雅黑"/>
                <w:bCs/>
                <w:kern w:val="0"/>
                <w:szCs w:val="21"/>
              </w:rPr>
              <w:t>归档病历修改。业务系统提供归档病历“申请修改”按钮，点击后调用病案系统病历修改申请链接，传入住院ID、系统标识等参数。“申请修改”获批后，病案系统调用业务系统的webservice解锁服务，业务系统修改完毕，重传归档数据。</w:t>
            </w:r>
          </w:p>
          <w:p>
            <w:pPr>
              <w:pStyle w:val="49"/>
              <w:widowControl/>
              <w:numPr>
                <w:ilvl w:val="0"/>
                <w:numId w:val="11"/>
              </w:numPr>
              <w:adjustRightInd w:val="0"/>
              <w:snapToGrid w:val="0"/>
              <w:ind w:firstLineChars="0"/>
              <w:rPr>
                <w:rFonts w:ascii="微软雅黑" w:hAnsi="微软雅黑" w:eastAsia="微软雅黑" w:cs="微软雅黑"/>
                <w:bCs/>
                <w:kern w:val="0"/>
                <w:szCs w:val="21"/>
              </w:rPr>
            </w:pPr>
            <w:r>
              <w:rPr>
                <w:rFonts w:hint="eastAsia" w:ascii="微软雅黑" w:hAnsi="微软雅黑" w:eastAsia="微软雅黑" w:cs="微软雅黑"/>
                <w:bCs/>
                <w:kern w:val="0"/>
                <w:szCs w:val="21"/>
              </w:rPr>
              <w:t>归档病历修改或删除限制。系统判断病历状态非“锁定”时方可修改，限制对病历状态为”锁定“时的修改，并弹出提示：”病历已归档锁定，禁止修改！如有特殊情况，可发起”修改申请“审批通过后方可修改“。</w:t>
            </w:r>
          </w:p>
          <w:p>
            <w:pPr>
              <w:pStyle w:val="49"/>
              <w:widowControl/>
              <w:numPr>
                <w:ilvl w:val="0"/>
                <w:numId w:val="11"/>
              </w:numPr>
              <w:adjustRightInd w:val="0"/>
              <w:snapToGrid w:val="0"/>
              <w:ind w:firstLineChars="0"/>
              <w:rPr>
                <w:rFonts w:ascii="微软雅黑" w:hAnsi="微软雅黑" w:eastAsia="微软雅黑" w:cs="微软雅黑"/>
                <w:bCs/>
                <w:kern w:val="0"/>
                <w:szCs w:val="21"/>
              </w:rPr>
            </w:pPr>
            <w:r>
              <w:rPr>
                <w:rFonts w:hint="eastAsia" w:ascii="微软雅黑" w:hAnsi="微软雅黑" w:eastAsia="微软雅黑" w:cs="微软雅黑"/>
                <w:bCs/>
                <w:kern w:val="0"/>
                <w:szCs w:val="21"/>
              </w:rPr>
              <w:t>在院封存归档功能。病区系统：提供封存归档功能，点击该功能即对所有医嘱等诊疗文书进行校验是否为最终版且经电子签名，并调用病案webservics发送封存时间，与出院批准处理类同，病案系统接收后调用各业务系统webservics发出封存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85" w:type="dxa"/>
            <w:vAlign w:val="center"/>
          </w:tcPr>
          <w:p>
            <w:pPr>
              <w:widowControl/>
              <w:adjustRightInd w:val="0"/>
              <w:spacing w:line="360" w:lineRule="auto"/>
              <w:jc w:val="center"/>
              <w:rPr>
                <w:rFonts w:ascii="微软雅黑" w:hAnsi="微软雅黑" w:eastAsia="微软雅黑" w:cs="微软雅黑"/>
                <w:b/>
                <w:bCs/>
                <w:kern w:val="0"/>
                <w:szCs w:val="21"/>
              </w:rPr>
            </w:pPr>
            <w:r>
              <w:rPr>
                <w:rFonts w:ascii="微软雅黑" w:hAnsi="微软雅黑" w:eastAsia="微软雅黑" w:cs="微软雅黑"/>
                <w:b/>
                <w:bCs/>
                <w:kern w:val="0"/>
                <w:szCs w:val="21"/>
              </w:rPr>
              <w:t>2.4</w:t>
            </w:r>
          </w:p>
        </w:tc>
        <w:tc>
          <w:tcPr>
            <w:tcW w:w="1601" w:type="dxa"/>
            <w:shd w:val="clear" w:color="auto" w:fill="auto"/>
            <w:vAlign w:val="center"/>
          </w:tcPr>
          <w:p>
            <w:pPr>
              <w:widowControl/>
              <w:spacing w:line="0" w:lineRule="atLeast"/>
              <w:jc w:val="left"/>
              <w:rPr>
                <w:rFonts w:ascii="微软雅黑" w:hAnsi="微软雅黑" w:eastAsia="微软雅黑" w:cs="宋体"/>
                <w:kern w:val="0"/>
                <w:szCs w:val="21"/>
              </w:rPr>
            </w:pPr>
            <w:r>
              <w:rPr>
                <w:rFonts w:hint="eastAsia" w:ascii="微软雅黑" w:hAnsi="微软雅黑" w:eastAsia="微软雅黑" w:cs="宋体"/>
                <w:kern w:val="0"/>
                <w:szCs w:val="21"/>
              </w:rPr>
              <w:t>接口清单</w:t>
            </w:r>
          </w:p>
        </w:tc>
        <w:tc>
          <w:tcPr>
            <w:tcW w:w="6559" w:type="dxa"/>
            <w:shd w:val="clear" w:color="auto" w:fill="auto"/>
            <w:vAlign w:val="center"/>
          </w:tcPr>
          <w:p>
            <w:pPr>
              <w:widowControl/>
              <w:adjustRightInd w:val="0"/>
              <w:snapToGrid w:val="0"/>
              <w:rPr>
                <w:rFonts w:ascii="微软雅黑" w:hAnsi="微软雅黑" w:eastAsia="微软雅黑" w:cs="微软雅黑"/>
                <w:bCs/>
                <w:kern w:val="0"/>
                <w:szCs w:val="21"/>
              </w:rPr>
            </w:pPr>
          </w:p>
          <w:p>
            <w:pPr>
              <w:pStyle w:val="2"/>
              <w:ind w:left="0" w:leftChars="0"/>
              <w:jc w:val="left"/>
              <w:rPr>
                <w:rFonts w:ascii="微软雅黑" w:hAnsi="微软雅黑" w:eastAsia="微软雅黑" w:cs="微软雅黑"/>
                <w:bCs/>
                <w:kern w:val="0"/>
                <w:szCs w:val="21"/>
              </w:rPr>
            </w:pPr>
            <w:bookmarkStart w:id="1" w:name="_MON_1740060081"/>
            <w:bookmarkEnd w:id="1"/>
            <w:r>
              <w:rPr>
                <w:rFonts w:ascii="微软雅黑" w:hAnsi="微软雅黑" w:eastAsia="微软雅黑" w:cs="微软雅黑"/>
                <w:bCs/>
                <w:kern w:val="0"/>
                <w:szCs w:val="21"/>
              </w:rPr>
              <w:object>
                <v:shape id="_x0000_i1025" o:spt="75" type="#_x0000_t75" style="height:294.75pt;width:301.5pt;" o:ole="t" filled="f" o:preferrelative="t" stroked="f" coordsize="21600,21600">
                  <v:path/>
                  <v:fill on="f" focussize="0,0"/>
                  <v:stroke on="f" joinstyle="miter"/>
                  <v:imagedata r:id="rId6" o:title=""/>
                  <o:lock v:ext="edit" aspectratio="t"/>
                  <w10:wrap type="none"/>
                  <w10:anchorlock/>
                </v:shape>
                <o:OLEObject Type="Embed" ProgID="Word.Document.12" ShapeID="_x0000_i1025" DrawAspect="Content" ObjectID="_1468075725" r:id="rId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85" w:type="dxa"/>
            <w:vAlign w:val="center"/>
          </w:tcPr>
          <w:p>
            <w:pPr>
              <w:widowControl/>
              <w:numPr>
                <w:ilvl w:val="0"/>
                <w:numId w:val="4"/>
              </w:numPr>
              <w:adjustRightInd w:val="0"/>
              <w:spacing w:line="360" w:lineRule="auto"/>
              <w:jc w:val="center"/>
              <w:rPr>
                <w:rFonts w:ascii="微软雅黑" w:hAnsi="微软雅黑" w:eastAsia="微软雅黑" w:cs="微软雅黑"/>
                <w:b/>
                <w:bCs/>
                <w:kern w:val="0"/>
                <w:szCs w:val="21"/>
              </w:rPr>
            </w:pPr>
          </w:p>
        </w:tc>
        <w:tc>
          <w:tcPr>
            <w:tcW w:w="1601" w:type="dxa"/>
            <w:shd w:val="clear" w:color="auto" w:fill="auto"/>
            <w:vAlign w:val="center"/>
          </w:tcPr>
          <w:p>
            <w:pPr>
              <w:widowControl/>
              <w:spacing w:line="0" w:lineRule="atLeast"/>
              <w:jc w:val="left"/>
              <w:rPr>
                <w:rFonts w:ascii="微软雅黑" w:hAnsi="微软雅黑" w:eastAsia="微软雅黑" w:cs="宋体"/>
                <w:kern w:val="0"/>
                <w:szCs w:val="21"/>
              </w:rPr>
            </w:pPr>
            <w:r>
              <w:rPr>
                <w:rFonts w:hint="eastAsia" w:ascii="微软雅黑" w:hAnsi="微软雅黑" w:eastAsia="微软雅黑" w:cs="宋体"/>
                <w:kern w:val="0"/>
                <w:szCs w:val="21"/>
              </w:rPr>
              <w:t>核医学科自助报告接口开发</w:t>
            </w:r>
          </w:p>
        </w:tc>
        <w:tc>
          <w:tcPr>
            <w:tcW w:w="6559" w:type="dxa"/>
            <w:shd w:val="clear" w:color="auto" w:fill="auto"/>
            <w:vAlign w:val="center"/>
          </w:tcPr>
          <w:p>
            <w:pPr>
              <w:widowControl/>
              <w:adjustRightInd w:val="0"/>
              <w:snapToGrid w:val="0"/>
              <w:rPr>
                <w:rFonts w:ascii="微软雅黑" w:hAnsi="微软雅黑" w:eastAsia="微软雅黑" w:cs="微软雅黑"/>
                <w:bCs/>
                <w:kern w:val="0"/>
                <w:szCs w:val="21"/>
              </w:rPr>
            </w:pPr>
            <w:r>
              <w:rPr>
                <w:rFonts w:hint="eastAsia" w:ascii="微软雅黑" w:hAnsi="微软雅黑" w:eastAsia="微软雅黑" w:cs="微软雅黑"/>
                <w:bCs/>
                <w:kern w:val="0"/>
                <w:szCs w:val="21"/>
              </w:rPr>
              <w:t>开发接口，提供可打印的报告给自助报告打印机；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85" w:type="dxa"/>
            <w:vAlign w:val="center"/>
          </w:tcPr>
          <w:p>
            <w:pPr>
              <w:widowControl/>
              <w:adjustRightInd w:val="0"/>
              <w:spacing w:line="360" w:lineRule="auto"/>
              <w:rPr>
                <w:rFonts w:ascii="微软雅黑" w:hAnsi="微软雅黑" w:eastAsia="微软雅黑" w:cs="微软雅黑"/>
                <w:b/>
                <w:bCs/>
                <w:kern w:val="0"/>
                <w:szCs w:val="21"/>
              </w:rPr>
            </w:pPr>
          </w:p>
        </w:tc>
        <w:tc>
          <w:tcPr>
            <w:tcW w:w="1601" w:type="dxa"/>
            <w:shd w:val="clear" w:color="auto" w:fill="auto"/>
            <w:vAlign w:val="center"/>
          </w:tcPr>
          <w:p>
            <w:pPr>
              <w:widowControl/>
              <w:spacing w:line="0" w:lineRule="atLeast"/>
              <w:jc w:val="left"/>
              <w:rPr>
                <w:rFonts w:ascii="微软雅黑" w:hAnsi="微软雅黑" w:eastAsia="微软雅黑" w:cs="宋体"/>
                <w:kern w:val="0"/>
                <w:szCs w:val="21"/>
              </w:rPr>
            </w:pPr>
          </w:p>
        </w:tc>
        <w:tc>
          <w:tcPr>
            <w:tcW w:w="6559" w:type="dxa"/>
            <w:shd w:val="clear" w:color="auto" w:fill="auto"/>
            <w:vAlign w:val="center"/>
          </w:tcPr>
          <w:p>
            <w:pPr>
              <w:widowControl/>
              <w:adjustRightInd w:val="0"/>
              <w:snapToGrid w:val="0"/>
              <w:rPr>
                <w:rFonts w:ascii="微软雅黑" w:hAnsi="微软雅黑" w:eastAsia="微软雅黑" w:cs="微软雅黑"/>
                <w:bCs/>
                <w:kern w:val="0"/>
                <w:szCs w:val="21"/>
              </w:rPr>
            </w:pPr>
            <w:r>
              <w:rPr>
                <w:rFonts w:hint="eastAsia" w:ascii="微软雅黑" w:hAnsi="微软雅黑" w:eastAsia="微软雅黑" w:cs="微软雅黑"/>
                <w:bCs/>
                <w:kern w:val="0"/>
                <w:szCs w:val="21"/>
              </w:rPr>
              <w:t>通过数据视图查询出病人报告文档所在位置。患者登录自助报告打印系统，自助系统依据主索引查找天思数据视图，如状态为“已审核”，可通过FTP方式获取终审报告并交付给患者。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885" w:type="dxa"/>
            <w:vAlign w:val="center"/>
          </w:tcPr>
          <w:p>
            <w:pPr>
              <w:widowControl/>
              <w:numPr>
                <w:ilvl w:val="0"/>
                <w:numId w:val="4"/>
              </w:numPr>
              <w:adjustRightInd w:val="0"/>
              <w:spacing w:line="360" w:lineRule="auto"/>
              <w:jc w:val="center"/>
              <w:rPr>
                <w:rFonts w:ascii="微软雅黑" w:hAnsi="微软雅黑" w:eastAsia="微软雅黑" w:cs="微软雅黑"/>
                <w:b/>
                <w:bCs/>
                <w:kern w:val="0"/>
                <w:szCs w:val="21"/>
              </w:rPr>
            </w:pPr>
          </w:p>
        </w:tc>
        <w:tc>
          <w:tcPr>
            <w:tcW w:w="1601" w:type="dxa"/>
            <w:shd w:val="clear" w:color="auto" w:fill="auto"/>
            <w:vAlign w:val="center"/>
          </w:tcPr>
          <w:p>
            <w:pPr>
              <w:widowControl/>
              <w:spacing w:line="0" w:lineRule="atLeast"/>
              <w:jc w:val="left"/>
              <w:rPr>
                <w:rFonts w:ascii="微软雅黑" w:hAnsi="微软雅黑" w:eastAsia="微软雅黑" w:cs="宋体"/>
                <w:kern w:val="0"/>
                <w:szCs w:val="21"/>
              </w:rPr>
            </w:pPr>
            <w:r>
              <w:rPr>
                <w:rFonts w:hint="eastAsia" w:ascii="微软雅黑" w:hAnsi="微软雅黑" w:eastAsia="微软雅黑" w:cs="宋体"/>
                <w:kern w:val="0"/>
                <w:szCs w:val="21"/>
              </w:rPr>
              <w:t>Worklist、数据存储升级与整合。</w:t>
            </w:r>
          </w:p>
        </w:tc>
        <w:tc>
          <w:tcPr>
            <w:tcW w:w="6559" w:type="dxa"/>
            <w:shd w:val="clear" w:color="auto" w:fill="auto"/>
            <w:vAlign w:val="center"/>
          </w:tcPr>
          <w:p>
            <w:pPr>
              <w:widowControl/>
              <w:adjustRightInd w:val="0"/>
              <w:snapToGrid w:val="0"/>
              <w:rPr>
                <w:rFonts w:ascii="微软雅黑" w:hAnsi="微软雅黑" w:eastAsia="微软雅黑" w:cs="微软雅黑"/>
                <w:bCs/>
                <w:kern w:val="0"/>
                <w:szCs w:val="21"/>
              </w:rPr>
            </w:pPr>
            <w:r>
              <w:rPr>
                <w:rFonts w:hint="eastAsia" w:ascii="微软雅黑" w:hAnsi="微软雅黑" w:eastAsia="微软雅黑" w:cs="微软雅黑"/>
                <w:bCs/>
                <w:kern w:val="0"/>
                <w:szCs w:val="21"/>
              </w:rPr>
              <w:t>将Worklist服务统一切换为NIS的Worklist服务器，从而简化数据内部流通的环节，增加对国产设备的支持、增加对新设备的更好支持；将影像数据存储统一切换为NIS的存储服务器，从而简化数据内部流通环节、实现统一管理、增加对新设备海量影像数据的支持与调度效率的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85" w:type="dxa"/>
            <w:vAlign w:val="center"/>
          </w:tcPr>
          <w:p>
            <w:pPr>
              <w:widowControl/>
              <w:adjustRightInd w:val="0"/>
              <w:spacing w:line="360" w:lineRule="auto"/>
              <w:jc w:val="center"/>
              <w:rPr>
                <w:rFonts w:ascii="微软雅黑" w:hAnsi="微软雅黑" w:eastAsia="微软雅黑" w:cs="微软雅黑"/>
                <w:b/>
                <w:bCs/>
                <w:kern w:val="0"/>
                <w:szCs w:val="21"/>
              </w:rPr>
            </w:pPr>
            <w:r>
              <w:rPr>
                <w:rFonts w:ascii="微软雅黑" w:hAnsi="微软雅黑" w:eastAsia="微软雅黑" w:cs="微软雅黑"/>
                <w:b/>
                <w:bCs/>
                <w:kern w:val="0"/>
                <w:szCs w:val="21"/>
              </w:rPr>
              <w:t>4.1</w:t>
            </w:r>
          </w:p>
        </w:tc>
        <w:tc>
          <w:tcPr>
            <w:tcW w:w="1601" w:type="dxa"/>
            <w:shd w:val="clear" w:color="auto" w:fill="auto"/>
            <w:vAlign w:val="center"/>
          </w:tcPr>
          <w:p>
            <w:pPr>
              <w:widowControl/>
              <w:spacing w:line="0" w:lineRule="atLeast"/>
              <w:jc w:val="left"/>
              <w:rPr>
                <w:rFonts w:ascii="微软雅黑" w:hAnsi="微软雅黑" w:eastAsia="微软雅黑" w:cs="宋体"/>
                <w:kern w:val="0"/>
                <w:szCs w:val="21"/>
              </w:rPr>
            </w:pPr>
            <w:r>
              <w:rPr>
                <w:rFonts w:hint="eastAsia" w:ascii="微软雅黑" w:hAnsi="微软雅黑" w:eastAsia="微软雅黑" w:cs="宋体"/>
                <w:kern w:val="0"/>
                <w:szCs w:val="21"/>
              </w:rPr>
              <w:t>Worklist Server</w:t>
            </w:r>
          </w:p>
        </w:tc>
        <w:tc>
          <w:tcPr>
            <w:tcW w:w="6559" w:type="dxa"/>
            <w:shd w:val="clear" w:color="auto" w:fill="auto"/>
            <w:vAlign w:val="center"/>
          </w:tcPr>
          <w:p>
            <w:pPr>
              <w:pStyle w:val="49"/>
              <w:widowControl/>
              <w:numPr>
                <w:ilvl w:val="0"/>
                <w:numId w:val="12"/>
              </w:numPr>
              <w:adjustRightInd w:val="0"/>
              <w:snapToGrid w:val="0"/>
              <w:spacing w:line="240" w:lineRule="atLeast"/>
              <w:ind w:firstLineChars="0"/>
              <w:rPr>
                <w:rFonts w:ascii="微软雅黑" w:hAnsi="微软雅黑" w:eastAsia="微软雅黑" w:cs="微软雅黑"/>
                <w:bCs/>
                <w:kern w:val="0"/>
                <w:szCs w:val="21"/>
              </w:rPr>
            </w:pPr>
            <w:r>
              <w:rPr>
                <w:rFonts w:hint="eastAsia" w:ascii="微软雅黑" w:hAnsi="微软雅黑" w:eastAsia="微软雅黑" w:cs="微软雅黑"/>
                <w:bCs/>
                <w:kern w:val="0"/>
                <w:szCs w:val="21"/>
              </w:rPr>
              <w:t>提供 DICOM Worklist Server。</w:t>
            </w:r>
          </w:p>
          <w:p>
            <w:pPr>
              <w:pStyle w:val="49"/>
              <w:widowControl/>
              <w:numPr>
                <w:ilvl w:val="0"/>
                <w:numId w:val="12"/>
              </w:numPr>
              <w:adjustRightInd w:val="0"/>
              <w:snapToGrid w:val="0"/>
              <w:spacing w:line="240" w:lineRule="atLeast"/>
              <w:ind w:firstLineChars="0"/>
              <w:rPr>
                <w:rFonts w:ascii="微软雅黑" w:hAnsi="微软雅黑" w:eastAsia="微软雅黑" w:cs="微软雅黑"/>
                <w:bCs/>
                <w:kern w:val="0"/>
                <w:szCs w:val="21"/>
              </w:rPr>
            </w:pPr>
            <w:r>
              <w:rPr>
                <w:rFonts w:hint="eastAsia" w:ascii="微软雅黑" w:hAnsi="微软雅黑" w:eastAsia="微软雅黑" w:cs="微软雅黑"/>
                <w:bCs/>
                <w:kern w:val="0"/>
                <w:szCs w:val="21"/>
              </w:rPr>
              <w:t>Worklist连接科室全部DICOM检查设备： SPECT/CT， PET/CT， PET/MR，骨密度。并可在未来添加新DICOM设备。</w:t>
            </w:r>
          </w:p>
          <w:p>
            <w:pPr>
              <w:pStyle w:val="49"/>
              <w:widowControl/>
              <w:numPr>
                <w:ilvl w:val="0"/>
                <w:numId w:val="12"/>
              </w:numPr>
              <w:adjustRightInd w:val="0"/>
              <w:snapToGrid w:val="0"/>
              <w:spacing w:line="240" w:lineRule="atLeast"/>
              <w:ind w:firstLineChars="0"/>
              <w:rPr>
                <w:rFonts w:ascii="微软雅黑" w:hAnsi="微软雅黑" w:eastAsia="微软雅黑" w:cs="微软雅黑"/>
                <w:bCs/>
                <w:kern w:val="0"/>
                <w:szCs w:val="21"/>
              </w:rPr>
            </w:pPr>
            <w:r>
              <w:rPr>
                <w:rFonts w:hint="eastAsia" w:ascii="微软雅黑" w:hAnsi="微软雅黑" w:eastAsia="微软雅黑" w:cs="微软雅黑"/>
                <w:bCs/>
                <w:kern w:val="0"/>
                <w:szCs w:val="21"/>
              </w:rPr>
              <w:t>Worklist支持字符集：支持英文字符集、GB18030字符集、GBK字符集。</w:t>
            </w:r>
          </w:p>
          <w:p>
            <w:pPr>
              <w:pStyle w:val="49"/>
              <w:widowControl/>
              <w:numPr>
                <w:ilvl w:val="0"/>
                <w:numId w:val="12"/>
              </w:numPr>
              <w:adjustRightInd w:val="0"/>
              <w:snapToGrid w:val="0"/>
              <w:spacing w:line="240" w:lineRule="atLeast"/>
              <w:ind w:firstLineChars="0"/>
              <w:rPr>
                <w:rFonts w:ascii="微软雅黑" w:hAnsi="微软雅黑" w:eastAsia="微软雅黑" w:cs="微软雅黑"/>
                <w:bCs/>
                <w:kern w:val="0"/>
                <w:szCs w:val="21"/>
              </w:rPr>
            </w:pPr>
            <w:r>
              <w:rPr>
                <w:rFonts w:hint="eastAsia" w:ascii="微软雅黑" w:hAnsi="微软雅黑" w:eastAsia="微软雅黑" w:cs="微软雅黑"/>
                <w:bCs/>
                <w:kern w:val="0"/>
                <w:szCs w:val="21"/>
              </w:rPr>
              <w:t>关闭原有DICOM Worklist传输通道、切换到新提供DICOM Worklist。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85" w:type="dxa"/>
            <w:vAlign w:val="center"/>
          </w:tcPr>
          <w:p>
            <w:pPr>
              <w:widowControl/>
              <w:adjustRightInd w:val="0"/>
              <w:spacing w:line="360" w:lineRule="auto"/>
              <w:jc w:val="center"/>
              <w:rPr>
                <w:rFonts w:ascii="微软雅黑" w:hAnsi="微软雅黑" w:eastAsia="微软雅黑" w:cs="微软雅黑"/>
                <w:b/>
                <w:bCs/>
                <w:kern w:val="0"/>
                <w:szCs w:val="21"/>
              </w:rPr>
            </w:pPr>
            <w:r>
              <w:rPr>
                <w:rFonts w:ascii="微软雅黑" w:hAnsi="微软雅黑" w:eastAsia="微软雅黑" w:cs="微软雅黑"/>
                <w:b/>
                <w:bCs/>
                <w:kern w:val="0"/>
                <w:szCs w:val="21"/>
              </w:rPr>
              <w:t>4.2</w:t>
            </w:r>
          </w:p>
        </w:tc>
        <w:tc>
          <w:tcPr>
            <w:tcW w:w="1601" w:type="dxa"/>
            <w:shd w:val="clear" w:color="auto" w:fill="auto"/>
            <w:vAlign w:val="center"/>
          </w:tcPr>
          <w:p>
            <w:pPr>
              <w:widowControl/>
              <w:spacing w:line="0" w:lineRule="atLeast"/>
              <w:jc w:val="left"/>
              <w:rPr>
                <w:rFonts w:ascii="微软雅黑" w:hAnsi="微软雅黑" w:eastAsia="微软雅黑" w:cs="宋体"/>
                <w:kern w:val="0"/>
                <w:szCs w:val="21"/>
              </w:rPr>
            </w:pPr>
            <w:r>
              <w:rPr>
                <w:rFonts w:hint="eastAsia" w:ascii="微软雅黑" w:hAnsi="微软雅黑" w:eastAsia="微软雅黑" w:cs="宋体"/>
                <w:kern w:val="0"/>
                <w:szCs w:val="21"/>
              </w:rPr>
              <w:t>DICOM Server</w:t>
            </w:r>
          </w:p>
        </w:tc>
        <w:tc>
          <w:tcPr>
            <w:tcW w:w="6559" w:type="dxa"/>
            <w:shd w:val="clear" w:color="auto" w:fill="auto"/>
            <w:vAlign w:val="center"/>
          </w:tcPr>
          <w:p>
            <w:pPr>
              <w:pStyle w:val="49"/>
              <w:widowControl/>
              <w:numPr>
                <w:ilvl w:val="0"/>
                <w:numId w:val="13"/>
              </w:numPr>
              <w:adjustRightInd w:val="0"/>
              <w:snapToGrid w:val="0"/>
              <w:spacing w:line="240" w:lineRule="atLeast"/>
              <w:ind w:firstLineChars="0"/>
              <w:rPr>
                <w:rFonts w:ascii="微软雅黑" w:hAnsi="微软雅黑" w:eastAsia="微软雅黑" w:cs="微软雅黑"/>
                <w:bCs/>
                <w:kern w:val="0"/>
                <w:szCs w:val="21"/>
              </w:rPr>
            </w:pPr>
            <w:r>
              <w:rPr>
                <w:rFonts w:hint="eastAsia" w:ascii="微软雅黑" w:hAnsi="微软雅黑" w:eastAsia="微软雅黑" w:cs="微软雅黑"/>
                <w:bCs/>
                <w:kern w:val="0"/>
                <w:szCs w:val="21"/>
              </w:rPr>
              <w:t>提供DICOM Server。</w:t>
            </w:r>
          </w:p>
          <w:p>
            <w:pPr>
              <w:pStyle w:val="49"/>
              <w:widowControl/>
              <w:numPr>
                <w:ilvl w:val="0"/>
                <w:numId w:val="13"/>
              </w:numPr>
              <w:adjustRightInd w:val="0"/>
              <w:snapToGrid w:val="0"/>
              <w:spacing w:line="240" w:lineRule="atLeast"/>
              <w:ind w:firstLineChars="0"/>
              <w:rPr>
                <w:rFonts w:ascii="微软雅黑" w:hAnsi="微软雅黑" w:eastAsia="微软雅黑" w:cs="微软雅黑"/>
                <w:bCs/>
                <w:kern w:val="0"/>
                <w:szCs w:val="21"/>
              </w:rPr>
            </w:pPr>
            <w:r>
              <w:rPr>
                <w:rFonts w:hint="eastAsia" w:ascii="微软雅黑" w:hAnsi="微软雅黑" w:eastAsia="微软雅黑" w:cs="微软雅黑"/>
                <w:bCs/>
                <w:kern w:val="0"/>
                <w:szCs w:val="21"/>
              </w:rPr>
              <w:t>从原有存储系统将DICOM数据全部迁入。</w:t>
            </w:r>
          </w:p>
          <w:p>
            <w:pPr>
              <w:pStyle w:val="49"/>
              <w:widowControl/>
              <w:numPr>
                <w:ilvl w:val="0"/>
                <w:numId w:val="13"/>
              </w:numPr>
              <w:adjustRightInd w:val="0"/>
              <w:snapToGrid w:val="0"/>
              <w:spacing w:line="240" w:lineRule="atLeast"/>
              <w:ind w:firstLineChars="0"/>
              <w:rPr>
                <w:rFonts w:ascii="微软雅黑" w:hAnsi="微软雅黑" w:eastAsia="微软雅黑" w:cs="微软雅黑"/>
                <w:bCs/>
                <w:kern w:val="0"/>
                <w:szCs w:val="21"/>
              </w:rPr>
            </w:pPr>
            <w:r>
              <w:rPr>
                <w:rFonts w:hint="eastAsia" w:ascii="微软雅黑" w:hAnsi="微软雅黑" w:eastAsia="微软雅黑" w:cs="微软雅黑"/>
                <w:bCs/>
                <w:kern w:val="0"/>
                <w:szCs w:val="21"/>
              </w:rPr>
              <w:t>DICOM Server连接科室全部DICOM检查设备： SPECT/CT， PET/CT， PET/MR，骨密度。并可在未来添加新DICOM设备。</w:t>
            </w:r>
          </w:p>
          <w:p>
            <w:pPr>
              <w:pStyle w:val="49"/>
              <w:widowControl/>
              <w:numPr>
                <w:ilvl w:val="0"/>
                <w:numId w:val="13"/>
              </w:numPr>
              <w:adjustRightInd w:val="0"/>
              <w:snapToGrid w:val="0"/>
              <w:spacing w:line="240" w:lineRule="atLeast"/>
              <w:ind w:firstLineChars="0"/>
              <w:rPr>
                <w:rFonts w:ascii="微软雅黑" w:hAnsi="微软雅黑" w:eastAsia="微软雅黑" w:cs="微软雅黑"/>
                <w:bCs/>
                <w:kern w:val="0"/>
                <w:szCs w:val="21"/>
              </w:rPr>
            </w:pPr>
            <w:r>
              <w:rPr>
                <w:rFonts w:hint="eastAsia" w:ascii="微软雅黑" w:hAnsi="微软雅黑" w:eastAsia="微软雅黑" w:cs="微软雅黑"/>
                <w:bCs/>
                <w:kern w:val="0"/>
                <w:szCs w:val="21"/>
              </w:rPr>
              <w:t>DICOM Server支持字符集：支持英文字符集、GB18030字符集、GBK字符集。</w:t>
            </w:r>
          </w:p>
          <w:p>
            <w:pPr>
              <w:pStyle w:val="49"/>
              <w:widowControl/>
              <w:numPr>
                <w:ilvl w:val="0"/>
                <w:numId w:val="13"/>
              </w:numPr>
              <w:adjustRightInd w:val="0"/>
              <w:snapToGrid w:val="0"/>
              <w:spacing w:line="240" w:lineRule="atLeast"/>
              <w:ind w:firstLineChars="0"/>
              <w:rPr>
                <w:rFonts w:ascii="微软雅黑" w:hAnsi="微软雅黑" w:eastAsia="微软雅黑" w:cs="微软雅黑"/>
                <w:bCs/>
                <w:kern w:val="0"/>
                <w:szCs w:val="21"/>
              </w:rPr>
            </w:pPr>
            <w:r>
              <w:rPr>
                <w:rFonts w:hint="eastAsia" w:ascii="微软雅黑" w:hAnsi="微软雅黑" w:eastAsia="微软雅黑" w:cs="微软雅黑"/>
                <w:bCs/>
                <w:kern w:val="0"/>
                <w:szCs w:val="21"/>
              </w:rPr>
              <w:t>关闭原有DICOM存储传输通道、切换到新提供DICOM Server。</w:t>
            </w:r>
          </w:p>
          <w:p>
            <w:pPr>
              <w:pStyle w:val="49"/>
              <w:widowControl/>
              <w:numPr>
                <w:ilvl w:val="0"/>
                <w:numId w:val="13"/>
              </w:numPr>
              <w:adjustRightInd w:val="0"/>
              <w:snapToGrid w:val="0"/>
              <w:spacing w:line="240" w:lineRule="atLeast"/>
              <w:ind w:firstLineChars="0"/>
              <w:rPr>
                <w:rFonts w:ascii="微软雅黑" w:hAnsi="微软雅黑" w:eastAsia="微软雅黑" w:cs="微软雅黑"/>
                <w:bCs/>
                <w:kern w:val="0"/>
                <w:szCs w:val="21"/>
              </w:rPr>
            </w:pPr>
            <w:r>
              <w:rPr>
                <w:rFonts w:hint="eastAsia" w:ascii="微软雅黑" w:hAnsi="微软雅黑" w:eastAsia="微软雅黑" w:cs="微软雅黑"/>
                <w:bCs/>
                <w:kern w:val="0"/>
                <w:szCs w:val="21"/>
              </w:rPr>
              <w:t>提供转发DICOM文件到数据中心的功能。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85" w:type="dxa"/>
            <w:vAlign w:val="center"/>
          </w:tcPr>
          <w:p>
            <w:pPr>
              <w:widowControl/>
              <w:numPr>
                <w:ilvl w:val="0"/>
                <w:numId w:val="4"/>
              </w:numPr>
              <w:adjustRightInd w:val="0"/>
              <w:spacing w:line="360" w:lineRule="auto"/>
              <w:jc w:val="center"/>
              <w:rPr>
                <w:rFonts w:ascii="微软雅黑" w:hAnsi="微软雅黑" w:eastAsia="微软雅黑" w:cs="微软雅黑"/>
                <w:b/>
                <w:bCs/>
                <w:kern w:val="0"/>
                <w:szCs w:val="21"/>
              </w:rPr>
            </w:pPr>
          </w:p>
        </w:tc>
        <w:tc>
          <w:tcPr>
            <w:tcW w:w="1601" w:type="dxa"/>
            <w:shd w:val="clear" w:color="auto" w:fill="auto"/>
            <w:vAlign w:val="center"/>
          </w:tcPr>
          <w:p>
            <w:pPr>
              <w:widowControl/>
              <w:spacing w:line="0" w:lineRule="atLeast"/>
              <w:jc w:val="left"/>
              <w:rPr>
                <w:rFonts w:ascii="微软雅黑" w:hAnsi="微软雅黑" w:eastAsia="微软雅黑" w:cs="宋体"/>
                <w:kern w:val="0"/>
                <w:szCs w:val="21"/>
              </w:rPr>
            </w:pPr>
            <w:r>
              <w:rPr>
                <w:rFonts w:hint="eastAsia" w:ascii="微软雅黑" w:hAnsi="微软雅黑" w:eastAsia="微软雅黑" w:cs="宋体"/>
                <w:kern w:val="0"/>
                <w:szCs w:val="21"/>
              </w:rPr>
              <w:t>核医学影像后处理升级与整合。</w:t>
            </w:r>
          </w:p>
        </w:tc>
        <w:tc>
          <w:tcPr>
            <w:tcW w:w="6559" w:type="dxa"/>
            <w:shd w:val="clear" w:color="auto" w:fill="auto"/>
            <w:vAlign w:val="center"/>
          </w:tcPr>
          <w:p>
            <w:pPr>
              <w:widowControl/>
              <w:adjustRightInd w:val="0"/>
              <w:snapToGrid w:val="0"/>
              <w:rPr>
                <w:rFonts w:ascii="微软雅黑" w:hAnsi="微软雅黑" w:eastAsia="微软雅黑" w:cs="微软雅黑"/>
                <w:bCs/>
                <w:kern w:val="0"/>
                <w:szCs w:val="21"/>
              </w:rPr>
            </w:pPr>
            <w:r>
              <w:rPr>
                <w:rFonts w:hint="eastAsia" w:ascii="微软雅黑" w:hAnsi="微软雅黑" w:eastAsia="微软雅黑" w:cs="微软雅黑"/>
                <w:bCs/>
                <w:kern w:val="0"/>
                <w:szCs w:val="21"/>
              </w:rPr>
              <w:t>在NIS系统中新增整合ECT后处理模块、PET融合后处理模块，从而在NIS工作站内部，能处理各种原有设备的影像，及不同检查设备影像的对比后处理。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85" w:type="dxa"/>
            <w:vAlign w:val="center"/>
          </w:tcPr>
          <w:p>
            <w:pPr>
              <w:widowControl/>
              <w:adjustRightInd w:val="0"/>
              <w:spacing w:line="360" w:lineRule="auto"/>
              <w:jc w:val="center"/>
              <w:rPr>
                <w:rFonts w:ascii="微软雅黑" w:hAnsi="微软雅黑" w:eastAsia="微软雅黑" w:cs="微软雅黑"/>
                <w:b/>
                <w:bCs/>
                <w:kern w:val="0"/>
                <w:szCs w:val="21"/>
              </w:rPr>
            </w:pPr>
            <w:r>
              <w:rPr>
                <w:rFonts w:ascii="微软雅黑" w:hAnsi="微软雅黑" w:eastAsia="微软雅黑" w:cs="微软雅黑"/>
                <w:b/>
                <w:bCs/>
                <w:kern w:val="0"/>
                <w:szCs w:val="21"/>
              </w:rPr>
              <w:t>5.1</w:t>
            </w:r>
          </w:p>
        </w:tc>
        <w:tc>
          <w:tcPr>
            <w:tcW w:w="1601" w:type="dxa"/>
            <w:shd w:val="clear" w:color="auto" w:fill="auto"/>
            <w:vAlign w:val="center"/>
          </w:tcPr>
          <w:p>
            <w:pPr>
              <w:widowControl/>
              <w:spacing w:line="0" w:lineRule="atLeast"/>
              <w:jc w:val="left"/>
              <w:rPr>
                <w:rFonts w:ascii="微软雅黑" w:hAnsi="微软雅黑" w:eastAsia="微软雅黑" w:cs="宋体"/>
                <w:kern w:val="0"/>
                <w:szCs w:val="21"/>
              </w:rPr>
            </w:pPr>
            <w:r>
              <w:rPr>
                <w:rFonts w:ascii="微软雅黑" w:hAnsi="微软雅黑" w:eastAsia="微软雅黑" w:cs="宋体"/>
                <w:kern w:val="0"/>
                <w:szCs w:val="21"/>
              </w:rPr>
              <w:t>SPECT全身骨显像后处理系统</w:t>
            </w:r>
          </w:p>
        </w:tc>
        <w:tc>
          <w:tcPr>
            <w:tcW w:w="6559" w:type="dxa"/>
            <w:shd w:val="clear" w:color="auto" w:fill="auto"/>
            <w:vAlign w:val="center"/>
          </w:tcPr>
          <w:p>
            <w:pPr>
              <w:pStyle w:val="2"/>
              <w:numPr>
                <w:ilvl w:val="0"/>
                <w:numId w:val="14"/>
              </w:numPr>
              <w:snapToGrid w:val="0"/>
              <w:spacing w:after="0" w:line="240" w:lineRule="atLeast"/>
              <w:ind w:left="92" w:leftChars="44"/>
              <w:rPr>
                <w:rFonts w:ascii="微软雅黑" w:hAnsi="微软雅黑" w:eastAsia="微软雅黑" w:cs="微软雅黑"/>
                <w:bCs/>
                <w:kern w:val="0"/>
                <w:szCs w:val="21"/>
              </w:rPr>
            </w:pPr>
            <w:r>
              <w:rPr>
                <w:rFonts w:ascii="微软雅黑" w:hAnsi="微软雅黑" w:eastAsia="微软雅黑" w:cs="微软雅黑"/>
                <w:bCs/>
                <w:kern w:val="0"/>
                <w:szCs w:val="21"/>
              </w:rPr>
              <w:t>支持标准：</w:t>
            </w:r>
            <w:r>
              <w:rPr>
                <w:rFonts w:hint="eastAsia" w:ascii="微软雅黑" w:hAnsi="微软雅黑" w:eastAsia="微软雅黑" w:cs="微软雅黑"/>
                <w:bCs/>
                <w:kern w:val="0"/>
                <w:szCs w:val="21"/>
              </w:rPr>
              <w:t>DICOM</w:t>
            </w:r>
            <w:r>
              <w:rPr>
                <w:rFonts w:ascii="微软雅黑" w:hAnsi="微软雅黑" w:eastAsia="微软雅黑" w:cs="微软雅黑"/>
                <w:bCs/>
                <w:kern w:val="0"/>
                <w:szCs w:val="21"/>
              </w:rPr>
              <w:t xml:space="preserve"> 3.0。</w:t>
            </w:r>
          </w:p>
          <w:p>
            <w:pPr>
              <w:pStyle w:val="2"/>
              <w:numPr>
                <w:ilvl w:val="0"/>
                <w:numId w:val="14"/>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Cs/>
                <w:kern w:val="0"/>
                <w:szCs w:val="21"/>
              </w:rPr>
              <w:t>兼容厂商：西门子、GE、飞利浦、永新。</w:t>
            </w:r>
          </w:p>
          <w:p>
            <w:pPr>
              <w:pStyle w:val="2"/>
              <w:numPr>
                <w:ilvl w:val="0"/>
                <w:numId w:val="14"/>
              </w:numPr>
              <w:snapToGrid w:val="0"/>
              <w:spacing w:after="0" w:line="240" w:lineRule="atLeast"/>
              <w:ind w:left="92" w:leftChars="44"/>
              <w:rPr>
                <w:rFonts w:ascii="微软雅黑" w:hAnsi="微软雅黑" w:eastAsia="微软雅黑" w:cs="微软雅黑"/>
                <w:bCs/>
                <w:kern w:val="0"/>
                <w:szCs w:val="21"/>
              </w:rPr>
            </w:pPr>
            <w:r>
              <w:rPr>
                <w:rFonts w:ascii="微软雅黑" w:hAnsi="微软雅黑" w:eastAsia="微软雅黑" w:cs="微软雅黑"/>
                <w:bCs/>
                <w:kern w:val="0"/>
                <w:szCs w:val="21"/>
              </w:rPr>
              <w:t>常用预设布局、内置超过</w:t>
            </w:r>
            <w:r>
              <w:rPr>
                <w:rFonts w:hint="eastAsia" w:ascii="微软雅黑" w:hAnsi="微软雅黑" w:eastAsia="微软雅黑" w:cs="微软雅黑"/>
                <w:bCs/>
                <w:kern w:val="0"/>
                <w:szCs w:val="21"/>
              </w:rPr>
              <w:t>5</w:t>
            </w:r>
            <w:r>
              <w:rPr>
                <w:rFonts w:ascii="微软雅黑" w:hAnsi="微软雅黑" w:eastAsia="微软雅黑" w:cs="微软雅黑"/>
                <w:bCs/>
                <w:kern w:val="0"/>
                <w:szCs w:val="21"/>
              </w:rPr>
              <w:t>0种预设色谱。</w:t>
            </w:r>
          </w:p>
          <w:p>
            <w:pPr>
              <w:pStyle w:val="2"/>
              <w:numPr>
                <w:ilvl w:val="0"/>
                <w:numId w:val="14"/>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Cs/>
                <w:kern w:val="0"/>
                <w:szCs w:val="21"/>
              </w:rPr>
              <w:t>W</w:t>
            </w:r>
            <w:r>
              <w:rPr>
                <w:rFonts w:ascii="微软雅黑" w:hAnsi="微软雅黑" w:eastAsia="微软雅黑" w:cs="微软雅黑"/>
                <w:bCs/>
                <w:kern w:val="0"/>
                <w:szCs w:val="21"/>
              </w:rPr>
              <w:t>W/WL调节，移动、缩放调节。</w:t>
            </w:r>
          </w:p>
          <w:p>
            <w:pPr>
              <w:pStyle w:val="2"/>
              <w:numPr>
                <w:ilvl w:val="0"/>
                <w:numId w:val="14"/>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Cs/>
                <w:kern w:val="0"/>
                <w:szCs w:val="21"/>
              </w:rPr>
              <w:t>前位图、后位图、前后位图、对比图。</w:t>
            </w:r>
          </w:p>
          <w:p>
            <w:pPr>
              <w:pStyle w:val="2"/>
              <w:numPr>
                <w:ilvl w:val="0"/>
                <w:numId w:val="14"/>
              </w:numPr>
              <w:snapToGrid w:val="0"/>
              <w:spacing w:after="0" w:line="240" w:lineRule="atLeast"/>
              <w:ind w:left="92" w:leftChars="44"/>
              <w:rPr>
                <w:rFonts w:ascii="微软雅黑" w:hAnsi="微软雅黑" w:eastAsia="微软雅黑" w:cs="微软雅黑"/>
                <w:bCs/>
                <w:kern w:val="0"/>
                <w:szCs w:val="21"/>
              </w:rPr>
            </w:pPr>
            <w:r>
              <w:rPr>
                <w:rFonts w:ascii="微软雅黑" w:hAnsi="微软雅黑" w:eastAsia="微软雅黑" w:cs="微软雅黑"/>
                <w:bCs/>
                <w:kern w:val="0"/>
                <w:szCs w:val="21"/>
              </w:rPr>
              <w:t>支持全身骨静息显像。</w:t>
            </w:r>
          </w:p>
          <w:p>
            <w:pPr>
              <w:pStyle w:val="2"/>
              <w:numPr>
                <w:ilvl w:val="0"/>
                <w:numId w:val="14"/>
              </w:numPr>
              <w:snapToGrid w:val="0"/>
              <w:spacing w:after="0" w:line="240" w:lineRule="atLeast"/>
              <w:ind w:left="92" w:leftChars="44"/>
              <w:rPr>
                <w:rFonts w:ascii="微软雅黑" w:hAnsi="微软雅黑" w:eastAsia="微软雅黑" w:cs="微软雅黑"/>
                <w:bCs/>
                <w:kern w:val="0"/>
                <w:szCs w:val="21"/>
              </w:rPr>
            </w:pPr>
            <w:r>
              <w:rPr>
                <w:rFonts w:ascii="微软雅黑" w:hAnsi="微软雅黑" w:eastAsia="微软雅黑" w:cs="微软雅黑"/>
                <w:bCs/>
                <w:kern w:val="0"/>
                <w:szCs w:val="21"/>
              </w:rPr>
              <w:t>高浓聚遮蔽。</w:t>
            </w:r>
          </w:p>
          <w:p>
            <w:pPr>
              <w:pStyle w:val="2"/>
              <w:numPr>
                <w:ilvl w:val="0"/>
                <w:numId w:val="14"/>
              </w:numPr>
              <w:snapToGrid w:val="0"/>
              <w:spacing w:after="0" w:line="240" w:lineRule="atLeast"/>
              <w:ind w:left="92" w:leftChars="44"/>
              <w:rPr>
                <w:rFonts w:ascii="微软雅黑" w:hAnsi="微软雅黑" w:eastAsia="微软雅黑" w:cs="微软雅黑"/>
                <w:bCs/>
                <w:kern w:val="0"/>
                <w:szCs w:val="21"/>
              </w:rPr>
            </w:pPr>
            <w:r>
              <w:rPr>
                <w:rFonts w:ascii="微软雅黑" w:hAnsi="微软雅黑" w:eastAsia="微软雅黑" w:cs="微软雅黑"/>
                <w:bCs/>
                <w:kern w:val="0"/>
                <w:szCs w:val="21"/>
              </w:rPr>
              <w:t>点测ROI、圆形ROI、矩形ROI、多边形ROI、手绘形ROI。</w:t>
            </w:r>
          </w:p>
          <w:p>
            <w:pPr>
              <w:pStyle w:val="2"/>
              <w:numPr>
                <w:ilvl w:val="0"/>
                <w:numId w:val="14"/>
              </w:numPr>
              <w:snapToGrid w:val="0"/>
              <w:spacing w:after="0" w:line="240" w:lineRule="atLeast"/>
              <w:ind w:left="92" w:leftChars="44"/>
              <w:rPr>
                <w:rFonts w:ascii="微软雅黑" w:hAnsi="微软雅黑" w:eastAsia="微软雅黑" w:cs="微软雅黑"/>
                <w:bCs/>
                <w:kern w:val="0"/>
                <w:szCs w:val="21"/>
              </w:rPr>
            </w:pPr>
            <w:r>
              <w:rPr>
                <w:rFonts w:ascii="微软雅黑" w:hAnsi="微软雅黑" w:eastAsia="微软雅黑" w:cs="微软雅黑"/>
                <w:bCs/>
                <w:kern w:val="0"/>
                <w:szCs w:val="21"/>
              </w:rPr>
              <w:t>计算平均值、最大值、方差、面积。</w:t>
            </w:r>
          </w:p>
          <w:p>
            <w:pPr>
              <w:pStyle w:val="2"/>
              <w:numPr>
                <w:ilvl w:val="0"/>
                <w:numId w:val="14"/>
              </w:numPr>
              <w:snapToGrid w:val="0"/>
              <w:spacing w:after="0" w:line="240" w:lineRule="atLeast"/>
              <w:ind w:left="92" w:leftChars="44"/>
              <w:rPr>
                <w:rFonts w:ascii="微软雅黑" w:hAnsi="微软雅黑" w:eastAsia="微软雅黑" w:cs="微软雅黑"/>
                <w:bCs/>
                <w:kern w:val="0"/>
                <w:szCs w:val="21"/>
              </w:rPr>
            </w:pPr>
            <w:r>
              <w:rPr>
                <w:rFonts w:ascii="微软雅黑" w:hAnsi="微软雅黑" w:eastAsia="微软雅黑" w:cs="微软雅黑"/>
                <w:bCs/>
                <w:kern w:val="0"/>
                <w:szCs w:val="21"/>
              </w:rPr>
              <w:t>本底测算。全身百分比计算。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85" w:type="dxa"/>
            <w:vAlign w:val="center"/>
          </w:tcPr>
          <w:p>
            <w:pPr>
              <w:widowControl/>
              <w:adjustRightInd w:val="0"/>
              <w:spacing w:line="360" w:lineRule="auto"/>
              <w:jc w:val="center"/>
              <w:rPr>
                <w:rFonts w:ascii="微软雅黑" w:hAnsi="微软雅黑" w:eastAsia="微软雅黑" w:cs="微软雅黑"/>
                <w:b/>
                <w:bCs/>
                <w:kern w:val="0"/>
                <w:szCs w:val="21"/>
              </w:rPr>
            </w:pPr>
            <w:r>
              <w:rPr>
                <w:rFonts w:ascii="微软雅黑" w:hAnsi="微软雅黑" w:eastAsia="微软雅黑" w:cs="微软雅黑"/>
                <w:b/>
                <w:bCs/>
                <w:kern w:val="0"/>
                <w:szCs w:val="21"/>
              </w:rPr>
              <w:t>5.2</w:t>
            </w:r>
          </w:p>
        </w:tc>
        <w:tc>
          <w:tcPr>
            <w:tcW w:w="1601" w:type="dxa"/>
            <w:shd w:val="clear" w:color="auto" w:fill="auto"/>
            <w:vAlign w:val="center"/>
          </w:tcPr>
          <w:p>
            <w:pPr>
              <w:widowControl/>
              <w:spacing w:line="0" w:lineRule="atLeast"/>
              <w:jc w:val="left"/>
              <w:rPr>
                <w:rFonts w:ascii="微软雅黑" w:hAnsi="微软雅黑" w:eastAsia="微软雅黑" w:cs="宋体"/>
                <w:kern w:val="0"/>
                <w:szCs w:val="21"/>
              </w:rPr>
            </w:pPr>
            <w:r>
              <w:rPr>
                <w:rFonts w:ascii="微软雅黑" w:hAnsi="微软雅黑" w:eastAsia="微软雅黑" w:cs="宋体"/>
                <w:kern w:val="0"/>
                <w:szCs w:val="21"/>
              </w:rPr>
              <w:t>SPECT甲状腺显像后处理系统</w:t>
            </w:r>
          </w:p>
        </w:tc>
        <w:tc>
          <w:tcPr>
            <w:tcW w:w="6559" w:type="dxa"/>
            <w:shd w:val="clear" w:color="auto" w:fill="auto"/>
            <w:vAlign w:val="center"/>
          </w:tcPr>
          <w:p>
            <w:pPr>
              <w:pStyle w:val="2"/>
              <w:numPr>
                <w:ilvl w:val="0"/>
                <w:numId w:val="15"/>
              </w:numPr>
              <w:snapToGrid w:val="0"/>
              <w:spacing w:after="0" w:line="240" w:lineRule="atLeast"/>
              <w:ind w:left="92" w:leftChars="44"/>
              <w:rPr>
                <w:rFonts w:ascii="微软雅黑" w:hAnsi="微软雅黑" w:eastAsia="微软雅黑" w:cs="微软雅黑"/>
                <w:bCs/>
                <w:kern w:val="0"/>
                <w:szCs w:val="21"/>
              </w:rPr>
            </w:pPr>
            <w:r>
              <w:rPr>
                <w:rFonts w:ascii="微软雅黑" w:hAnsi="微软雅黑" w:eastAsia="微软雅黑" w:cs="微软雅黑"/>
                <w:bCs/>
                <w:kern w:val="0"/>
                <w:szCs w:val="21"/>
              </w:rPr>
              <w:t>支持标准：</w:t>
            </w:r>
            <w:r>
              <w:rPr>
                <w:rFonts w:hint="eastAsia" w:ascii="微软雅黑" w:hAnsi="微软雅黑" w:eastAsia="微软雅黑" w:cs="微软雅黑"/>
                <w:bCs/>
                <w:kern w:val="0"/>
                <w:szCs w:val="21"/>
              </w:rPr>
              <w:t>DICOM</w:t>
            </w:r>
            <w:r>
              <w:rPr>
                <w:rFonts w:ascii="微软雅黑" w:hAnsi="微软雅黑" w:eastAsia="微软雅黑" w:cs="微软雅黑"/>
                <w:bCs/>
                <w:kern w:val="0"/>
                <w:szCs w:val="21"/>
              </w:rPr>
              <w:t xml:space="preserve"> 3.0。</w:t>
            </w:r>
          </w:p>
          <w:p>
            <w:pPr>
              <w:pStyle w:val="2"/>
              <w:numPr>
                <w:ilvl w:val="0"/>
                <w:numId w:val="15"/>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Cs/>
                <w:kern w:val="0"/>
                <w:szCs w:val="21"/>
              </w:rPr>
              <w:t>兼容厂商：西门子、GE、飞利浦、永新。</w:t>
            </w:r>
          </w:p>
          <w:p>
            <w:pPr>
              <w:pStyle w:val="2"/>
              <w:numPr>
                <w:ilvl w:val="0"/>
                <w:numId w:val="15"/>
              </w:numPr>
              <w:snapToGrid w:val="0"/>
              <w:spacing w:after="0" w:line="240" w:lineRule="atLeast"/>
              <w:ind w:left="92" w:leftChars="44"/>
              <w:rPr>
                <w:rFonts w:ascii="微软雅黑" w:hAnsi="微软雅黑" w:eastAsia="微软雅黑" w:cs="微软雅黑"/>
                <w:bCs/>
                <w:kern w:val="0"/>
                <w:szCs w:val="21"/>
              </w:rPr>
            </w:pPr>
            <w:r>
              <w:rPr>
                <w:rFonts w:ascii="微软雅黑" w:hAnsi="微软雅黑" w:eastAsia="微软雅黑" w:cs="微软雅黑"/>
                <w:bCs/>
                <w:kern w:val="0"/>
                <w:szCs w:val="21"/>
              </w:rPr>
              <w:t>常用预设布局、内置超过</w:t>
            </w:r>
            <w:r>
              <w:rPr>
                <w:rFonts w:hint="eastAsia" w:ascii="微软雅黑" w:hAnsi="微软雅黑" w:eastAsia="微软雅黑" w:cs="微软雅黑"/>
                <w:bCs/>
                <w:kern w:val="0"/>
                <w:szCs w:val="21"/>
              </w:rPr>
              <w:t>5</w:t>
            </w:r>
            <w:r>
              <w:rPr>
                <w:rFonts w:ascii="微软雅黑" w:hAnsi="微软雅黑" w:eastAsia="微软雅黑" w:cs="微软雅黑"/>
                <w:bCs/>
                <w:kern w:val="0"/>
                <w:szCs w:val="21"/>
              </w:rPr>
              <w:t>0种预设色谱。</w:t>
            </w:r>
          </w:p>
          <w:p>
            <w:pPr>
              <w:pStyle w:val="2"/>
              <w:numPr>
                <w:ilvl w:val="0"/>
                <w:numId w:val="15"/>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Cs/>
                <w:kern w:val="0"/>
                <w:szCs w:val="21"/>
              </w:rPr>
              <w:t>W</w:t>
            </w:r>
            <w:r>
              <w:rPr>
                <w:rFonts w:ascii="微软雅黑" w:hAnsi="微软雅黑" w:eastAsia="微软雅黑" w:cs="微软雅黑"/>
                <w:bCs/>
                <w:kern w:val="0"/>
                <w:szCs w:val="21"/>
              </w:rPr>
              <w:t>W/WL调节，移动、缩放调节。</w:t>
            </w:r>
          </w:p>
          <w:p>
            <w:pPr>
              <w:pStyle w:val="2"/>
              <w:numPr>
                <w:ilvl w:val="0"/>
                <w:numId w:val="15"/>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Cs/>
                <w:kern w:val="0"/>
                <w:szCs w:val="21"/>
              </w:rPr>
              <w:t>前位图、后位图、前后位图、多帧图。</w:t>
            </w:r>
          </w:p>
          <w:p>
            <w:pPr>
              <w:pStyle w:val="2"/>
              <w:numPr>
                <w:ilvl w:val="0"/>
                <w:numId w:val="15"/>
              </w:numPr>
              <w:snapToGrid w:val="0"/>
              <w:spacing w:after="0" w:line="240" w:lineRule="atLeast"/>
              <w:ind w:left="92" w:leftChars="44"/>
              <w:rPr>
                <w:rFonts w:ascii="微软雅黑" w:hAnsi="微软雅黑" w:eastAsia="微软雅黑" w:cs="微软雅黑"/>
                <w:bCs/>
                <w:kern w:val="0"/>
                <w:szCs w:val="21"/>
              </w:rPr>
            </w:pPr>
            <w:r>
              <w:rPr>
                <w:rFonts w:ascii="微软雅黑" w:hAnsi="微软雅黑" w:eastAsia="微软雅黑" w:cs="微软雅黑"/>
                <w:bCs/>
                <w:kern w:val="0"/>
                <w:szCs w:val="21"/>
              </w:rPr>
              <w:t>点测ROI、圆形ROI、矩形ROI、多边形ROI、手绘形ROI、</w:t>
            </w:r>
          </w:p>
          <w:p>
            <w:pPr>
              <w:pStyle w:val="2"/>
              <w:numPr>
                <w:ilvl w:val="0"/>
                <w:numId w:val="15"/>
              </w:numPr>
              <w:snapToGrid w:val="0"/>
              <w:spacing w:after="0" w:line="240" w:lineRule="atLeast"/>
              <w:ind w:left="92" w:leftChars="44"/>
              <w:rPr>
                <w:rFonts w:ascii="微软雅黑" w:hAnsi="微软雅黑" w:eastAsia="微软雅黑" w:cs="微软雅黑"/>
                <w:bCs/>
                <w:kern w:val="0"/>
                <w:szCs w:val="21"/>
              </w:rPr>
            </w:pPr>
            <w:r>
              <w:rPr>
                <w:rFonts w:ascii="微软雅黑" w:hAnsi="微软雅黑" w:eastAsia="微软雅黑" w:cs="微软雅黑"/>
                <w:bCs/>
                <w:kern w:val="0"/>
                <w:szCs w:val="21"/>
              </w:rPr>
              <w:t>球形VOI、长方体VOI、可调节阈值。</w:t>
            </w:r>
          </w:p>
          <w:p>
            <w:pPr>
              <w:pStyle w:val="2"/>
              <w:numPr>
                <w:ilvl w:val="0"/>
                <w:numId w:val="15"/>
              </w:numPr>
              <w:snapToGrid w:val="0"/>
              <w:spacing w:after="0" w:line="240" w:lineRule="atLeast"/>
              <w:ind w:left="92" w:leftChars="44"/>
              <w:rPr>
                <w:rFonts w:ascii="微软雅黑" w:hAnsi="微软雅黑" w:eastAsia="微软雅黑" w:cs="微软雅黑"/>
                <w:bCs/>
                <w:kern w:val="0"/>
                <w:szCs w:val="21"/>
              </w:rPr>
            </w:pPr>
            <w:r>
              <w:rPr>
                <w:rFonts w:ascii="微软雅黑" w:hAnsi="微软雅黑" w:eastAsia="微软雅黑" w:cs="微软雅黑"/>
                <w:bCs/>
                <w:kern w:val="0"/>
                <w:szCs w:val="21"/>
              </w:rPr>
              <w:t>计算平均值、最大值、方差、面积。</w:t>
            </w:r>
          </w:p>
          <w:p>
            <w:pPr>
              <w:pStyle w:val="2"/>
              <w:numPr>
                <w:ilvl w:val="0"/>
                <w:numId w:val="15"/>
              </w:numPr>
              <w:snapToGrid w:val="0"/>
              <w:spacing w:after="0" w:line="240" w:lineRule="atLeast"/>
              <w:ind w:left="92" w:leftChars="44"/>
              <w:rPr>
                <w:rFonts w:ascii="微软雅黑" w:hAnsi="微软雅黑" w:eastAsia="微软雅黑" w:cs="微软雅黑"/>
                <w:bCs/>
                <w:kern w:val="0"/>
                <w:szCs w:val="21"/>
              </w:rPr>
            </w:pPr>
            <w:r>
              <w:rPr>
                <w:rFonts w:ascii="微软雅黑" w:hAnsi="微软雅黑" w:eastAsia="微软雅黑" w:cs="微软雅黑"/>
                <w:bCs/>
                <w:kern w:val="0"/>
                <w:szCs w:val="21"/>
              </w:rPr>
              <w:t>提供甲重计算工具，甲状腺体积计算工具。</w:t>
            </w:r>
          </w:p>
          <w:p>
            <w:pPr>
              <w:pStyle w:val="2"/>
              <w:numPr>
                <w:ilvl w:val="0"/>
                <w:numId w:val="15"/>
              </w:numPr>
              <w:snapToGrid w:val="0"/>
              <w:spacing w:after="0" w:line="240" w:lineRule="atLeast"/>
              <w:ind w:left="92" w:leftChars="44"/>
              <w:rPr>
                <w:rFonts w:ascii="微软雅黑" w:hAnsi="微软雅黑" w:eastAsia="微软雅黑" w:cs="微软雅黑"/>
                <w:bCs/>
                <w:kern w:val="0"/>
                <w:szCs w:val="21"/>
              </w:rPr>
            </w:pPr>
            <w:r>
              <w:rPr>
                <w:rFonts w:ascii="微软雅黑" w:hAnsi="微软雅黑" w:eastAsia="微软雅黑" w:cs="微软雅黑"/>
                <w:bCs/>
                <w:kern w:val="0"/>
                <w:szCs w:val="21"/>
              </w:rPr>
              <w:t>本底测算。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85" w:type="dxa"/>
            <w:vAlign w:val="center"/>
          </w:tcPr>
          <w:p>
            <w:pPr>
              <w:widowControl/>
              <w:adjustRightInd w:val="0"/>
              <w:spacing w:line="360" w:lineRule="auto"/>
              <w:jc w:val="center"/>
              <w:rPr>
                <w:rFonts w:ascii="微软雅黑" w:hAnsi="微软雅黑" w:eastAsia="微软雅黑" w:cs="微软雅黑"/>
                <w:b/>
                <w:bCs/>
                <w:kern w:val="0"/>
                <w:szCs w:val="21"/>
              </w:rPr>
            </w:pPr>
            <w:r>
              <w:rPr>
                <w:rFonts w:ascii="微软雅黑" w:hAnsi="微软雅黑" w:eastAsia="微软雅黑" w:cs="微软雅黑"/>
                <w:b/>
                <w:bCs/>
                <w:kern w:val="0"/>
                <w:szCs w:val="21"/>
              </w:rPr>
              <w:t>5.3</w:t>
            </w:r>
          </w:p>
        </w:tc>
        <w:tc>
          <w:tcPr>
            <w:tcW w:w="1601" w:type="dxa"/>
            <w:shd w:val="clear" w:color="auto" w:fill="auto"/>
            <w:vAlign w:val="center"/>
          </w:tcPr>
          <w:p>
            <w:pPr>
              <w:widowControl/>
              <w:spacing w:line="0" w:lineRule="atLeast"/>
              <w:jc w:val="left"/>
              <w:rPr>
                <w:rFonts w:ascii="微软雅黑" w:hAnsi="微软雅黑" w:eastAsia="微软雅黑" w:cs="宋体"/>
                <w:kern w:val="0"/>
                <w:szCs w:val="21"/>
              </w:rPr>
            </w:pPr>
            <w:r>
              <w:rPr>
                <w:rFonts w:ascii="微软雅黑" w:hAnsi="微软雅黑" w:eastAsia="微软雅黑" w:cs="宋体"/>
                <w:kern w:val="0"/>
                <w:szCs w:val="21"/>
              </w:rPr>
              <w:t>SPECT肾动态显像后处理系统</w:t>
            </w:r>
          </w:p>
        </w:tc>
        <w:tc>
          <w:tcPr>
            <w:tcW w:w="6559" w:type="dxa"/>
            <w:shd w:val="clear" w:color="auto" w:fill="auto"/>
            <w:vAlign w:val="center"/>
          </w:tcPr>
          <w:p>
            <w:pPr>
              <w:pStyle w:val="2"/>
              <w:numPr>
                <w:ilvl w:val="0"/>
                <w:numId w:val="16"/>
              </w:numPr>
              <w:snapToGrid w:val="0"/>
              <w:spacing w:after="0" w:line="240" w:lineRule="atLeast"/>
              <w:ind w:left="92" w:leftChars="44"/>
              <w:rPr>
                <w:rFonts w:ascii="微软雅黑" w:hAnsi="微软雅黑" w:eastAsia="微软雅黑" w:cs="微软雅黑"/>
                <w:bCs/>
                <w:kern w:val="0"/>
                <w:szCs w:val="21"/>
              </w:rPr>
            </w:pPr>
            <w:r>
              <w:rPr>
                <w:rFonts w:ascii="微软雅黑" w:hAnsi="微软雅黑" w:eastAsia="微软雅黑" w:cs="微软雅黑"/>
                <w:bCs/>
                <w:kern w:val="0"/>
                <w:szCs w:val="21"/>
              </w:rPr>
              <w:t>支持标准：</w:t>
            </w:r>
            <w:r>
              <w:rPr>
                <w:rFonts w:hint="eastAsia" w:ascii="微软雅黑" w:hAnsi="微软雅黑" w:eastAsia="微软雅黑" w:cs="微软雅黑"/>
                <w:bCs/>
                <w:kern w:val="0"/>
                <w:szCs w:val="21"/>
              </w:rPr>
              <w:t>DICOM</w:t>
            </w:r>
            <w:r>
              <w:rPr>
                <w:rFonts w:ascii="微软雅黑" w:hAnsi="微软雅黑" w:eastAsia="微软雅黑" w:cs="微软雅黑"/>
                <w:bCs/>
                <w:kern w:val="0"/>
                <w:szCs w:val="21"/>
              </w:rPr>
              <w:t xml:space="preserve"> 3.0。</w:t>
            </w:r>
          </w:p>
          <w:p>
            <w:pPr>
              <w:pStyle w:val="2"/>
              <w:numPr>
                <w:ilvl w:val="0"/>
                <w:numId w:val="16"/>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Cs/>
                <w:kern w:val="0"/>
                <w:szCs w:val="21"/>
              </w:rPr>
              <w:t>兼容厂商：西门子、GE、飞利浦、永新。</w:t>
            </w:r>
          </w:p>
          <w:p>
            <w:pPr>
              <w:pStyle w:val="2"/>
              <w:numPr>
                <w:ilvl w:val="0"/>
                <w:numId w:val="16"/>
              </w:numPr>
              <w:snapToGrid w:val="0"/>
              <w:spacing w:after="0" w:line="240" w:lineRule="atLeast"/>
              <w:ind w:left="92" w:leftChars="44"/>
              <w:rPr>
                <w:rFonts w:ascii="微软雅黑" w:hAnsi="微软雅黑" w:eastAsia="微软雅黑" w:cs="微软雅黑"/>
                <w:bCs/>
                <w:kern w:val="0"/>
                <w:szCs w:val="21"/>
              </w:rPr>
            </w:pPr>
            <w:r>
              <w:rPr>
                <w:rFonts w:ascii="微软雅黑" w:hAnsi="微软雅黑" w:eastAsia="微软雅黑" w:cs="微软雅黑"/>
                <w:bCs/>
                <w:kern w:val="0"/>
                <w:szCs w:val="21"/>
              </w:rPr>
              <w:t>常用预设布局、内置超过</w:t>
            </w:r>
            <w:r>
              <w:rPr>
                <w:rFonts w:hint="eastAsia" w:ascii="微软雅黑" w:hAnsi="微软雅黑" w:eastAsia="微软雅黑" w:cs="微软雅黑"/>
                <w:bCs/>
                <w:kern w:val="0"/>
                <w:szCs w:val="21"/>
              </w:rPr>
              <w:t>5</w:t>
            </w:r>
            <w:r>
              <w:rPr>
                <w:rFonts w:ascii="微软雅黑" w:hAnsi="微软雅黑" w:eastAsia="微软雅黑" w:cs="微软雅黑"/>
                <w:bCs/>
                <w:kern w:val="0"/>
                <w:szCs w:val="21"/>
              </w:rPr>
              <w:t>0种预设色谱。</w:t>
            </w:r>
          </w:p>
          <w:p>
            <w:pPr>
              <w:pStyle w:val="2"/>
              <w:numPr>
                <w:ilvl w:val="0"/>
                <w:numId w:val="16"/>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Cs/>
                <w:kern w:val="0"/>
                <w:szCs w:val="21"/>
              </w:rPr>
              <w:t>W</w:t>
            </w:r>
            <w:r>
              <w:rPr>
                <w:rFonts w:ascii="微软雅黑" w:hAnsi="微软雅黑" w:eastAsia="微软雅黑" w:cs="微软雅黑"/>
                <w:bCs/>
                <w:kern w:val="0"/>
                <w:szCs w:val="21"/>
              </w:rPr>
              <w:t>W/WL调节，移动、缩放调节。</w:t>
            </w:r>
          </w:p>
          <w:p>
            <w:pPr>
              <w:pStyle w:val="2"/>
              <w:numPr>
                <w:ilvl w:val="0"/>
                <w:numId w:val="16"/>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Cs/>
                <w:kern w:val="0"/>
                <w:szCs w:val="21"/>
              </w:rPr>
              <w:t>前位时序图、后位时序图。</w:t>
            </w:r>
          </w:p>
          <w:p>
            <w:pPr>
              <w:pStyle w:val="2"/>
              <w:numPr>
                <w:ilvl w:val="0"/>
                <w:numId w:val="16"/>
              </w:numPr>
              <w:snapToGrid w:val="0"/>
              <w:spacing w:after="0" w:line="240" w:lineRule="atLeast"/>
              <w:ind w:left="92" w:leftChars="44"/>
              <w:rPr>
                <w:rFonts w:ascii="微软雅黑" w:hAnsi="微软雅黑" w:eastAsia="微软雅黑" w:cs="微软雅黑"/>
                <w:bCs/>
                <w:kern w:val="0"/>
                <w:szCs w:val="21"/>
              </w:rPr>
            </w:pPr>
            <w:r>
              <w:rPr>
                <w:rFonts w:ascii="微软雅黑" w:hAnsi="微软雅黑" w:eastAsia="微软雅黑" w:cs="微软雅黑"/>
                <w:bCs/>
                <w:kern w:val="0"/>
                <w:szCs w:val="21"/>
              </w:rPr>
              <w:t>左右肾手工勾画、自动勾画，左右本底手工勾画、自动勾画。</w:t>
            </w:r>
          </w:p>
          <w:p>
            <w:pPr>
              <w:pStyle w:val="2"/>
              <w:numPr>
                <w:ilvl w:val="0"/>
                <w:numId w:val="16"/>
              </w:numPr>
              <w:snapToGrid w:val="0"/>
              <w:spacing w:after="0" w:line="240" w:lineRule="atLeast"/>
              <w:ind w:left="92" w:leftChars="44"/>
              <w:rPr>
                <w:rFonts w:ascii="微软雅黑" w:hAnsi="微软雅黑" w:eastAsia="微软雅黑" w:cs="微软雅黑"/>
                <w:bCs/>
                <w:kern w:val="0"/>
                <w:szCs w:val="21"/>
              </w:rPr>
            </w:pPr>
            <w:r>
              <w:rPr>
                <w:rFonts w:ascii="微软雅黑" w:hAnsi="微软雅黑" w:eastAsia="微软雅黑" w:cs="微软雅黑"/>
                <w:bCs/>
                <w:kern w:val="0"/>
                <w:szCs w:val="21"/>
              </w:rPr>
              <w:t>血流图、功能图、时序图。</w:t>
            </w:r>
          </w:p>
          <w:p>
            <w:pPr>
              <w:pStyle w:val="2"/>
              <w:numPr>
                <w:ilvl w:val="0"/>
                <w:numId w:val="16"/>
              </w:numPr>
              <w:snapToGrid w:val="0"/>
              <w:spacing w:after="0" w:line="240" w:lineRule="atLeast"/>
              <w:ind w:left="92" w:leftChars="44"/>
              <w:rPr>
                <w:rFonts w:ascii="微软雅黑" w:hAnsi="微软雅黑" w:eastAsia="微软雅黑" w:cs="微软雅黑"/>
                <w:bCs/>
                <w:kern w:val="0"/>
                <w:szCs w:val="21"/>
              </w:rPr>
            </w:pPr>
            <w:r>
              <w:rPr>
                <w:rFonts w:ascii="微软雅黑" w:hAnsi="微软雅黑" w:eastAsia="微软雅黑" w:cs="微软雅黑"/>
                <w:bCs/>
                <w:kern w:val="0"/>
                <w:szCs w:val="21"/>
              </w:rPr>
              <w:t>本底测算，肾深计算工具，肾容积计算工具。</w:t>
            </w:r>
          </w:p>
          <w:p>
            <w:pPr>
              <w:pStyle w:val="2"/>
              <w:numPr>
                <w:ilvl w:val="0"/>
                <w:numId w:val="16"/>
              </w:numPr>
              <w:snapToGrid w:val="0"/>
              <w:spacing w:after="0" w:line="240" w:lineRule="atLeast"/>
              <w:ind w:left="92" w:leftChars="44"/>
              <w:rPr>
                <w:rFonts w:ascii="微软雅黑" w:hAnsi="微软雅黑" w:eastAsia="微软雅黑" w:cs="微软雅黑"/>
                <w:bCs/>
                <w:kern w:val="0"/>
                <w:szCs w:val="21"/>
              </w:rPr>
            </w:pPr>
            <w:r>
              <w:rPr>
                <w:rFonts w:ascii="微软雅黑" w:hAnsi="微软雅黑" w:eastAsia="微软雅黑" w:cs="微软雅黑"/>
                <w:bCs/>
                <w:kern w:val="0"/>
                <w:szCs w:val="21"/>
              </w:rPr>
              <w:t>左右肾动态曲线分析：峰值计算、半衰期计算、20分钟排泄率计算、摄取率计算。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85" w:type="dxa"/>
            <w:vAlign w:val="center"/>
          </w:tcPr>
          <w:p>
            <w:pPr>
              <w:widowControl/>
              <w:adjustRightInd w:val="0"/>
              <w:spacing w:line="360" w:lineRule="auto"/>
              <w:jc w:val="center"/>
              <w:rPr>
                <w:rFonts w:ascii="微软雅黑" w:hAnsi="微软雅黑" w:eastAsia="微软雅黑" w:cs="微软雅黑"/>
                <w:b/>
                <w:bCs/>
                <w:kern w:val="0"/>
                <w:szCs w:val="21"/>
              </w:rPr>
            </w:pPr>
            <w:r>
              <w:rPr>
                <w:rFonts w:ascii="微软雅黑" w:hAnsi="微软雅黑" w:eastAsia="微软雅黑" w:cs="微软雅黑"/>
                <w:b/>
                <w:bCs/>
                <w:kern w:val="0"/>
                <w:szCs w:val="21"/>
              </w:rPr>
              <w:t>5.4</w:t>
            </w:r>
          </w:p>
        </w:tc>
        <w:tc>
          <w:tcPr>
            <w:tcW w:w="1601" w:type="dxa"/>
            <w:shd w:val="clear" w:color="auto" w:fill="auto"/>
            <w:vAlign w:val="center"/>
          </w:tcPr>
          <w:p>
            <w:pPr>
              <w:widowControl/>
              <w:spacing w:line="0" w:lineRule="atLeast"/>
              <w:jc w:val="left"/>
              <w:rPr>
                <w:rFonts w:ascii="微软雅黑" w:hAnsi="微软雅黑" w:eastAsia="微软雅黑" w:cs="宋体"/>
                <w:kern w:val="0"/>
                <w:szCs w:val="21"/>
              </w:rPr>
            </w:pPr>
            <w:r>
              <w:rPr>
                <w:rFonts w:hint="eastAsia" w:ascii="微软雅黑" w:hAnsi="微软雅黑" w:eastAsia="微软雅黑" w:cs="宋体"/>
                <w:kern w:val="0"/>
                <w:szCs w:val="21"/>
              </w:rPr>
              <w:t>PET融合后处理模块</w:t>
            </w:r>
          </w:p>
        </w:tc>
        <w:tc>
          <w:tcPr>
            <w:tcW w:w="6559" w:type="dxa"/>
            <w:shd w:val="clear" w:color="auto" w:fill="auto"/>
            <w:vAlign w:val="center"/>
          </w:tcPr>
          <w:p>
            <w:pPr>
              <w:pStyle w:val="2"/>
              <w:numPr>
                <w:ilvl w:val="0"/>
                <w:numId w:val="17"/>
              </w:numPr>
              <w:snapToGrid w:val="0"/>
              <w:spacing w:after="0" w:line="240" w:lineRule="atLeast"/>
              <w:ind w:left="92" w:leftChars="44"/>
              <w:rPr>
                <w:rFonts w:ascii="微软雅黑" w:hAnsi="微软雅黑" w:eastAsia="微软雅黑" w:cs="微软雅黑"/>
                <w:bCs/>
                <w:kern w:val="0"/>
                <w:szCs w:val="21"/>
              </w:rPr>
            </w:pPr>
            <w:r>
              <w:rPr>
                <w:rFonts w:ascii="微软雅黑" w:hAnsi="微软雅黑" w:eastAsia="微软雅黑" w:cs="微软雅黑"/>
                <w:bCs/>
                <w:kern w:val="0"/>
                <w:szCs w:val="21"/>
              </w:rPr>
              <w:t>支持标准：</w:t>
            </w:r>
            <w:r>
              <w:rPr>
                <w:rFonts w:hint="eastAsia" w:ascii="微软雅黑" w:hAnsi="微软雅黑" w:eastAsia="微软雅黑" w:cs="微软雅黑"/>
                <w:bCs/>
                <w:kern w:val="0"/>
                <w:szCs w:val="21"/>
              </w:rPr>
              <w:t>DICOM</w:t>
            </w:r>
            <w:r>
              <w:rPr>
                <w:rFonts w:ascii="微软雅黑" w:hAnsi="微软雅黑" w:eastAsia="微软雅黑" w:cs="微软雅黑"/>
                <w:bCs/>
                <w:kern w:val="0"/>
                <w:szCs w:val="21"/>
              </w:rPr>
              <w:t xml:space="preserve"> 3.0。</w:t>
            </w:r>
          </w:p>
          <w:p>
            <w:pPr>
              <w:pStyle w:val="2"/>
              <w:numPr>
                <w:ilvl w:val="0"/>
                <w:numId w:val="17"/>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Cs/>
                <w:kern w:val="0"/>
                <w:szCs w:val="21"/>
              </w:rPr>
              <w:t>兼容厂商：西门子、GE、联影等。</w:t>
            </w:r>
          </w:p>
          <w:p>
            <w:pPr>
              <w:pStyle w:val="2"/>
              <w:numPr>
                <w:ilvl w:val="0"/>
                <w:numId w:val="17"/>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Cs/>
                <w:kern w:val="0"/>
                <w:szCs w:val="21"/>
              </w:rPr>
              <w:t>兼容设备：PET/CT、PET/MR。</w:t>
            </w:r>
          </w:p>
          <w:p>
            <w:pPr>
              <w:pStyle w:val="2"/>
              <w:numPr>
                <w:ilvl w:val="0"/>
                <w:numId w:val="17"/>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Cs/>
                <w:kern w:val="0"/>
                <w:szCs w:val="21"/>
              </w:rPr>
              <w:t>PET/MR融合模式：2D融合、3D融合。</w:t>
            </w:r>
          </w:p>
          <w:p>
            <w:pPr>
              <w:pStyle w:val="2"/>
              <w:numPr>
                <w:ilvl w:val="0"/>
                <w:numId w:val="17"/>
              </w:numPr>
              <w:snapToGrid w:val="0"/>
              <w:spacing w:after="0" w:line="240" w:lineRule="atLeast"/>
              <w:ind w:left="92" w:leftChars="44"/>
              <w:rPr>
                <w:rFonts w:ascii="微软雅黑" w:hAnsi="微软雅黑" w:eastAsia="微软雅黑" w:cs="微软雅黑"/>
                <w:bCs/>
                <w:kern w:val="0"/>
                <w:szCs w:val="21"/>
              </w:rPr>
            </w:pPr>
            <w:r>
              <w:rPr>
                <w:rFonts w:ascii="微软雅黑" w:hAnsi="微软雅黑" w:eastAsia="微软雅黑" w:cs="微软雅黑"/>
                <w:bCs/>
                <w:kern w:val="0"/>
                <w:szCs w:val="21"/>
              </w:rPr>
              <w:t>常用预设布局、内置超过60种预设色谱。</w:t>
            </w:r>
          </w:p>
          <w:p>
            <w:pPr>
              <w:pStyle w:val="2"/>
              <w:numPr>
                <w:ilvl w:val="0"/>
                <w:numId w:val="17"/>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Cs/>
                <w:kern w:val="0"/>
                <w:szCs w:val="21"/>
              </w:rPr>
              <w:t>W</w:t>
            </w:r>
            <w:r>
              <w:rPr>
                <w:rFonts w:ascii="微软雅黑" w:hAnsi="微软雅黑" w:eastAsia="微软雅黑" w:cs="微软雅黑"/>
                <w:bCs/>
                <w:kern w:val="0"/>
                <w:szCs w:val="21"/>
              </w:rPr>
              <w:t>W/WL调节，移动、缩放调节。</w:t>
            </w:r>
          </w:p>
          <w:p>
            <w:pPr>
              <w:pStyle w:val="2"/>
              <w:numPr>
                <w:ilvl w:val="0"/>
                <w:numId w:val="17"/>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Cs/>
                <w:kern w:val="0"/>
                <w:szCs w:val="21"/>
              </w:rPr>
              <w:t>PET断层图像自动自动衰减矫正。</w:t>
            </w:r>
          </w:p>
          <w:p>
            <w:pPr>
              <w:pStyle w:val="2"/>
              <w:numPr>
                <w:ilvl w:val="0"/>
                <w:numId w:val="17"/>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Cs/>
                <w:kern w:val="0"/>
                <w:szCs w:val="21"/>
              </w:rPr>
              <w:t>各种格式PET图像的SUV计算，SUV与原厂系统一致。</w:t>
            </w:r>
          </w:p>
          <w:p>
            <w:pPr>
              <w:pStyle w:val="2"/>
              <w:numPr>
                <w:ilvl w:val="0"/>
                <w:numId w:val="17"/>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Cs/>
                <w:kern w:val="0"/>
                <w:szCs w:val="21"/>
              </w:rPr>
              <w:t>不同检查图像的自动床位对齐、偏移纠正。</w:t>
            </w:r>
          </w:p>
          <w:p>
            <w:pPr>
              <w:pStyle w:val="2"/>
              <w:numPr>
                <w:ilvl w:val="0"/>
                <w:numId w:val="17"/>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Cs/>
                <w:kern w:val="0"/>
                <w:szCs w:val="21"/>
              </w:rPr>
              <w:t>影像的平铺模式、堆叠模式、多种布局方案。</w:t>
            </w:r>
          </w:p>
          <w:p>
            <w:pPr>
              <w:pStyle w:val="2"/>
              <w:numPr>
                <w:ilvl w:val="0"/>
                <w:numId w:val="17"/>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Cs/>
                <w:kern w:val="0"/>
                <w:szCs w:val="21"/>
              </w:rPr>
              <w:t>多平面重组：横断面/冠向面/矢向面/MIP图。</w:t>
            </w:r>
          </w:p>
          <w:p>
            <w:pPr>
              <w:pStyle w:val="2"/>
              <w:numPr>
                <w:ilvl w:val="0"/>
                <w:numId w:val="17"/>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Cs/>
                <w:kern w:val="0"/>
                <w:szCs w:val="21"/>
              </w:rPr>
              <w:t>MIP动态投影电影播放，可以调节MIP幅数和播放速度。</w:t>
            </w:r>
          </w:p>
          <w:p>
            <w:pPr>
              <w:pStyle w:val="2"/>
              <w:numPr>
                <w:ilvl w:val="0"/>
                <w:numId w:val="17"/>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Cs/>
                <w:kern w:val="0"/>
                <w:szCs w:val="21"/>
              </w:rPr>
              <w:t>可调节的图像融合度。</w:t>
            </w:r>
          </w:p>
          <w:p>
            <w:pPr>
              <w:pStyle w:val="2"/>
              <w:numPr>
                <w:ilvl w:val="0"/>
                <w:numId w:val="17"/>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Cs/>
                <w:kern w:val="0"/>
                <w:szCs w:val="21"/>
              </w:rPr>
              <w:t>自动关联定位模式。</w:t>
            </w:r>
          </w:p>
          <w:p>
            <w:pPr>
              <w:pStyle w:val="2"/>
              <w:numPr>
                <w:ilvl w:val="0"/>
                <w:numId w:val="17"/>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Cs/>
                <w:kern w:val="0"/>
                <w:szCs w:val="21"/>
              </w:rPr>
              <w:t>全套的ROI测算工具：点测量、线段、矩形、椭圆、圆形、封闭折线、自由手绘。</w:t>
            </w:r>
          </w:p>
          <w:p>
            <w:pPr>
              <w:pStyle w:val="2"/>
              <w:numPr>
                <w:ilvl w:val="0"/>
                <w:numId w:val="17"/>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Cs/>
                <w:kern w:val="0"/>
                <w:szCs w:val="21"/>
              </w:rPr>
              <w:t>同检查多序列同体位的ROI自动同步。</w:t>
            </w:r>
          </w:p>
          <w:p>
            <w:pPr>
              <w:pStyle w:val="2"/>
              <w:numPr>
                <w:ilvl w:val="0"/>
                <w:numId w:val="17"/>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Cs/>
                <w:kern w:val="0"/>
                <w:szCs w:val="21"/>
              </w:rPr>
              <w:t xml:space="preserve">阈值探测VOI，计算SUVmax </w:t>
            </w:r>
            <w:r>
              <w:rPr>
                <w:rFonts w:ascii="微软雅黑" w:hAnsi="微软雅黑" w:eastAsia="微软雅黑" w:cs="微软雅黑"/>
                <w:bCs/>
                <w:kern w:val="0"/>
                <w:szCs w:val="21"/>
              </w:rPr>
              <w:t>/</w:t>
            </w:r>
            <w:r>
              <w:rPr>
                <w:rFonts w:hint="eastAsia" w:ascii="微软雅黑" w:hAnsi="微软雅黑" w:eastAsia="微软雅黑" w:cs="微软雅黑"/>
                <w:bCs/>
                <w:kern w:val="0"/>
                <w:szCs w:val="21"/>
              </w:rPr>
              <w:t>SUV</w:t>
            </w:r>
            <w:r>
              <w:rPr>
                <w:rFonts w:ascii="微软雅黑" w:hAnsi="微软雅黑" w:eastAsia="微软雅黑" w:cs="微软雅黑"/>
                <w:bCs/>
                <w:kern w:val="0"/>
                <w:szCs w:val="21"/>
              </w:rPr>
              <w:t>mean</w:t>
            </w:r>
            <w:r>
              <w:rPr>
                <w:rFonts w:hint="eastAsia" w:ascii="微软雅黑" w:hAnsi="微软雅黑" w:eastAsia="微软雅黑" w:cs="微软雅黑"/>
                <w:bCs/>
                <w:kern w:val="0"/>
                <w:szCs w:val="21"/>
              </w:rPr>
              <w:t xml:space="preserve"> </w:t>
            </w:r>
            <w:r>
              <w:rPr>
                <w:rFonts w:ascii="微软雅黑" w:hAnsi="微软雅黑" w:eastAsia="微软雅黑" w:cs="微软雅黑"/>
                <w:bCs/>
                <w:kern w:val="0"/>
                <w:szCs w:val="21"/>
              </w:rPr>
              <w:t>/</w:t>
            </w:r>
            <w:r>
              <w:rPr>
                <w:rFonts w:hint="eastAsia" w:ascii="微软雅黑" w:hAnsi="微软雅黑" w:eastAsia="微软雅黑" w:cs="微软雅黑"/>
                <w:bCs/>
                <w:kern w:val="0"/>
                <w:szCs w:val="21"/>
              </w:rPr>
              <w:t>SUV</w:t>
            </w:r>
            <w:r>
              <w:rPr>
                <w:rFonts w:ascii="微软雅黑" w:hAnsi="微软雅黑" w:eastAsia="微软雅黑" w:cs="微软雅黑"/>
                <w:bCs/>
                <w:kern w:val="0"/>
                <w:szCs w:val="21"/>
              </w:rPr>
              <w:t>peak</w:t>
            </w:r>
            <w:r>
              <w:rPr>
                <w:rFonts w:hint="eastAsia" w:ascii="微软雅黑" w:hAnsi="微软雅黑" w:eastAsia="微软雅黑" w:cs="微软雅黑"/>
                <w:bCs/>
                <w:kern w:val="0"/>
                <w:szCs w:val="21"/>
              </w:rPr>
              <w:t xml:space="preserve"> </w:t>
            </w:r>
            <w:r>
              <w:rPr>
                <w:rFonts w:ascii="微软雅黑" w:hAnsi="微软雅黑" w:eastAsia="微软雅黑" w:cs="微软雅黑"/>
                <w:bCs/>
                <w:kern w:val="0"/>
                <w:szCs w:val="21"/>
              </w:rPr>
              <w:t>/MTV</w:t>
            </w:r>
            <w:r>
              <w:rPr>
                <w:rFonts w:hint="eastAsia" w:ascii="微软雅黑" w:hAnsi="微软雅黑" w:eastAsia="微软雅黑" w:cs="微软雅黑"/>
                <w:bCs/>
                <w:kern w:val="0"/>
                <w:szCs w:val="21"/>
              </w:rPr>
              <w:t xml:space="preserve"> </w:t>
            </w:r>
            <w:r>
              <w:rPr>
                <w:rFonts w:ascii="微软雅黑" w:hAnsi="微软雅黑" w:eastAsia="微软雅黑" w:cs="微软雅黑"/>
                <w:bCs/>
                <w:kern w:val="0"/>
                <w:szCs w:val="21"/>
              </w:rPr>
              <w:t>/TLG</w:t>
            </w:r>
            <w:r>
              <w:rPr>
                <w:rFonts w:hint="eastAsia" w:ascii="微软雅黑" w:hAnsi="微软雅黑" w:eastAsia="微软雅黑" w:cs="微软雅黑"/>
                <w:bCs/>
                <w:kern w:val="0"/>
                <w:szCs w:val="21"/>
              </w:rPr>
              <w:t xml:space="preserve"> </w:t>
            </w:r>
            <w:r>
              <w:rPr>
                <w:rFonts w:ascii="微软雅黑" w:hAnsi="微软雅黑" w:eastAsia="微软雅黑" w:cs="微软雅黑"/>
                <w:bCs/>
                <w:kern w:val="0"/>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5" w:type="dxa"/>
            <w:vAlign w:val="center"/>
          </w:tcPr>
          <w:p>
            <w:pPr>
              <w:widowControl/>
              <w:numPr>
                <w:ilvl w:val="0"/>
                <w:numId w:val="4"/>
              </w:numPr>
              <w:adjustRightInd w:val="0"/>
              <w:spacing w:line="360" w:lineRule="auto"/>
              <w:jc w:val="center"/>
              <w:rPr>
                <w:rFonts w:ascii="微软雅黑" w:hAnsi="微软雅黑" w:eastAsia="微软雅黑" w:cs="微软雅黑"/>
                <w:b/>
                <w:bCs/>
                <w:kern w:val="0"/>
                <w:szCs w:val="21"/>
              </w:rPr>
            </w:pPr>
          </w:p>
        </w:tc>
        <w:tc>
          <w:tcPr>
            <w:tcW w:w="1601" w:type="dxa"/>
            <w:shd w:val="clear" w:color="auto" w:fill="auto"/>
            <w:vAlign w:val="center"/>
          </w:tcPr>
          <w:p>
            <w:pPr>
              <w:widowControl/>
              <w:spacing w:line="0" w:lineRule="atLeast"/>
              <w:jc w:val="left"/>
              <w:rPr>
                <w:rFonts w:ascii="微软雅黑" w:hAnsi="微软雅黑" w:eastAsia="微软雅黑" w:cs="宋体"/>
                <w:kern w:val="0"/>
                <w:szCs w:val="21"/>
              </w:rPr>
            </w:pPr>
            <w:r>
              <w:rPr>
                <w:rFonts w:hint="eastAsia" w:ascii="微软雅黑" w:hAnsi="微软雅黑" w:eastAsia="微软雅黑" w:cs="宋体"/>
                <w:kern w:val="0"/>
                <w:szCs w:val="21"/>
              </w:rPr>
              <w:t>NIS新需求开发整合。</w:t>
            </w:r>
          </w:p>
        </w:tc>
        <w:tc>
          <w:tcPr>
            <w:tcW w:w="6559" w:type="dxa"/>
            <w:shd w:val="clear" w:color="auto" w:fill="auto"/>
            <w:vAlign w:val="center"/>
          </w:tcPr>
          <w:p>
            <w:pPr>
              <w:widowControl/>
              <w:adjustRightInd w:val="0"/>
              <w:snapToGrid w:val="0"/>
              <w:rPr>
                <w:rFonts w:ascii="微软雅黑" w:hAnsi="微软雅黑" w:eastAsia="微软雅黑" w:cs="微软雅黑"/>
                <w:kern w:val="0"/>
                <w:szCs w:val="21"/>
              </w:rPr>
            </w:pPr>
            <w:r>
              <w:rPr>
                <w:rFonts w:hint="eastAsia" w:ascii="微软雅黑" w:hAnsi="微软雅黑" w:eastAsia="微软雅黑" w:cs="微软雅黑"/>
                <w:kern w:val="0"/>
                <w:szCs w:val="21"/>
              </w:rPr>
              <w:t>在整合系统的框架下，根据科室新需求，从新调整升级登记模块、叫号模块、注射模块、采集模块、运动实验模块、碳13模块、报告模块、审核模块、查询模块、报告分配模块、设备管理模块以及报告上传模块。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微软雅黑" w:hAnsi="微软雅黑" w:eastAsia="微软雅黑" w:cs="微软雅黑"/>
                <w:b/>
                <w:bCs/>
                <w:kern w:val="0"/>
                <w:szCs w:val="21"/>
              </w:rPr>
            </w:pPr>
            <w:r>
              <w:rPr>
                <w:rFonts w:ascii="微软雅黑" w:hAnsi="微软雅黑" w:eastAsia="微软雅黑" w:cs="微软雅黑"/>
                <w:b/>
                <w:bCs/>
                <w:kern w:val="0"/>
                <w:szCs w:val="21"/>
              </w:rPr>
              <w:t>6.1</w:t>
            </w:r>
          </w:p>
        </w:tc>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left"/>
              <w:rPr>
                <w:rFonts w:ascii="微软雅黑" w:hAnsi="微软雅黑" w:eastAsia="微软雅黑" w:cs="宋体"/>
                <w:kern w:val="0"/>
                <w:szCs w:val="21"/>
              </w:rPr>
            </w:pPr>
            <w:r>
              <w:rPr>
                <w:rFonts w:hint="eastAsia" w:ascii="微软雅黑" w:hAnsi="微软雅黑" w:eastAsia="微软雅黑" w:cs="宋体"/>
                <w:kern w:val="0"/>
                <w:szCs w:val="21"/>
              </w:rPr>
              <w:t>架构及底层整合升级</w:t>
            </w:r>
          </w:p>
        </w:tc>
        <w:tc>
          <w:tcPr>
            <w:tcW w:w="65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napToGrid w:val="0"/>
              <w:spacing w:after="0" w:line="240" w:lineRule="atLeast"/>
              <w:ind w:left="0" w:leftChars="0"/>
              <w:rPr>
                <w:rFonts w:ascii="微软雅黑" w:hAnsi="微软雅黑" w:eastAsia="微软雅黑" w:cs="微软雅黑"/>
                <w:kern w:val="0"/>
                <w:szCs w:val="21"/>
              </w:rPr>
            </w:pPr>
            <w:r>
              <w:rPr>
                <w:rFonts w:hint="eastAsia" w:ascii="微软雅黑" w:hAnsi="微软雅黑" w:eastAsia="微软雅黑" w:cs="微软雅黑"/>
                <w:kern w:val="0"/>
                <w:szCs w:val="21"/>
              </w:rPr>
              <w:t>与科室沟通、</w:t>
            </w:r>
            <w:r>
              <w:rPr>
                <w:rFonts w:hint="eastAsia" w:ascii="微软雅黑" w:hAnsi="微软雅黑" w:eastAsia="微软雅黑" w:cs="微软雅黑"/>
                <w:bCs/>
                <w:kern w:val="0"/>
                <w:szCs w:val="21"/>
              </w:rPr>
              <w:t>制定规划：</w:t>
            </w:r>
          </w:p>
          <w:p>
            <w:pPr>
              <w:pStyle w:val="2"/>
              <w:numPr>
                <w:ilvl w:val="0"/>
                <w:numId w:val="18"/>
              </w:numPr>
              <w:snapToGrid w:val="0"/>
              <w:spacing w:after="0" w:line="240" w:lineRule="atLeast"/>
              <w:ind w:left="92" w:leftChars="44"/>
              <w:rPr>
                <w:rFonts w:ascii="微软雅黑" w:hAnsi="微软雅黑" w:eastAsia="微软雅黑" w:cs="微软雅黑"/>
                <w:kern w:val="0"/>
                <w:szCs w:val="21"/>
              </w:rPr>
            </w:pPr>
            <w:r>
              <w:rPr>
                <w:rFonts w:hint="eastAsia" w:ascii="微软雅黑" w:hAnsi="微软雅黑" w:eastAsia="微软雅黑" w:cs="微软雅黑"/>
                <w:kern w:val="0"/>
                <w:szCs w:val="21"/>
              </w:rPr>
              <w:t>将现有系统存储的影像文件迁入NIS的存储体系，并停止使用现有系统的存储功能。</w:t>
            </w:r>
          </w:p>
          <w:p>
            <w:pPr>
              <w:pStyle w:val="2"/>
              <w:numPr>
                <w:ilvl w:val="0"/>
                <w:numId w:val="18"/>
              </w:numPr>
              <w:snapToGrid w:val="0"/>
              <w:spacing w:after="0" w:line="240" w:lineRule="atLeast"/>
              <w:ind w:left="92" w:leftChars="44"/>
              <w:rPr>
                <w:rFonts w:ascii="微软雅黑" w:hAnsi="微软雅黑" w:eastAsia="微软雅黑" w:cs="微软雅黑"/>
                <w:kern w:val="0"/>
                <w:szCs w:val="21"/>
              </w:rPr>
            </w:pPr>
            <w:r>
              <w:rPr>
                <w:rFonts w:hint="eastAsia" w:ascii="微软雅黑" w:hAnsi="微软雅黑" w:eastAsia="微软雅黑" w:cs="微软雅黑"/>
                <w:kern w:val="0"/>
                <w:szCs w:val="21"/>
              </w:rPr>
              <w:t>切换影像设备的Worklist，保证进口设备继续使用英文Worklist、国产设备能使用中文Worklist，方便操作技师与医生。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微软雅黑" w:hAnsi="微软雅黑" w:eastAsia="微软雅黑" w:cs="微软雅黑"/>
                <w:b/>
                <w:bCs/>
                <w:kern w:val="0"/>
                <w:szCs w:val="21"/>
              </w:rPr>
            </w:pPr>
            <w:r>
              <w:rPr>
                <w:rFonts w:ascii="微软雅黑" w:hAnsi="微软雅黑" w:eastAsia="微软雅黑" w:cs="微软雅黑"/>
                <w:b/>
                <w:bCs/>
                <w:kern w:val="0"/>
                <w:szCs w:val="21"/>
              </w:rPr>
              <w:t>6.2</w:t>
            </w:r>
          </w:p>
        </w:tc>
        <w:tc>
          <w:tcPr>
            <w:tcW w:w="16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left"/>
              <w:rPr>
                <w:rFonts w:ascii="微软雅黑" w:hAnsi="微软雅黑" w:eastAsia="微软雅黑" w:cs="宋体"/>
                <w:kern w:val="0"/>
                <w:szCs w:val="21"/>
              </w:rPr>
            </w:pPr>
            <w:r>
              <w:rPr>
                <w:rFonts w:hint="eastAsia" w:ascii="微软雅黑" w:hAnsi="微软雅黑" w:eastAsia="微软雅黑" w:cs="宋体"/>
                <w:kern w:val="0"/>
                <w:szCs w:val="21"/>
              </w:rPr>
              <w:t>功能及流程修改、升级</w:t>
            </w:r>
          </w:p>
        </w:tc>
        <w:tc>
          <w:tcPr>
            <w:tcW w:w="6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kern w:val="0"/>
                <w:szCs w:val="21"/>
              </w:rPr>
            </w:pPr>
          </w:p>
          <w:p>
            <w:pPr>
              <w:pStyle w:val="2"/>
              <w:numPr>
                <w:ilvl w:val="0"/>
                <w:numId w:val="19"/>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
                <w:bCs/>
                <w:kern w:val="0"/>
                <w:szCs w:val="21"/>
              </w:rPr>
              <w:t>登记模块</w:t>
            </w:r>
            <w:r>
              <w:rPr>
                <w:rFonts w:hint="eastAsia" w:ascii="微软雅黑" w:hAnsi="微软雅黑" w:eastAsia="微软雅黑" w:cs="微软雅黑"/>
                <w:bCs/>
                <w:kern w:val="0"/>
                <w:szCs w:val="21"/>
              </w:rPr>
              <w:t>：增加采集设备信息。在知情同意书上补充完善，增加身高,体重的内容的填充。增加生成、修改调整全部设备类型检查项目的DICOM Worklist条目。增加确费功能。增加登记后取消、取消后恢复的功能。患者二维码门禁。</w:t>
            </w:r>
          </w:p>
          <w:p>
            <w:pPr>
              <w:pStyle w:val="2"/>
              <w:numPr>
                <w:ilvl w:val="0"/>
                <w:numId w:val="19"/>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
                <w:bCs/>
                <w:kern w:val="0"/>
                <w:szCs w:val="21"/>
              </w:rPr>
              <w:t>叫号模块</w:t>
            </w:r>
            <w:r>
              <w:rPr>
                <w:rFonts w:hint="eastAsia" w:ascii="微软雅黑" w:hAnsi="微软雅黑" w:eastAsia="微软雅黑" w:cs="微软雅黑"/>
                <w:bCs/>
                <w:kern w:val="0"/>
                <w:szCs w:val="21"/>
              </w:rPr>
              <w:t>：叫号新需求:1，按休息室叫号，播检查前准备内容，可不设置指定检查项目；2，按检查室播报，播该检查室的请准备，请进入，不播准备内容。3，登记处播报，播报全部检查者，不播报准备内容；4，大厅播报，播报除指定不播报的流程，检查项目等，播报全部检查含准备内容。允许排除骨密度。登记后可播报交待的内容。除按检查类型，检查项目外还得配置检查设备的房间对应的叫号，如PETCT有旧机和新机。排查清理重复的检查项目定义。</w:t>
            </w:r>
          </w:p>
          <w:p>
            <w:pPr>
              <w:pStyle w:val="2"/>
              <w:numPr>
                <w:ilvl w:val="0"/>
                <w:numId w:val="19"/>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
                <w:bCs/>
                <w:kern w:val="0"/>
                <w:szCs w:val="21"/>
              </w:rPr>
              <w:t>注射模块</w:t>
            </w:r>
            <w:r>
              <w:rPr>
                <w:rFonts w:hint="eastAsia" w:ascii="微软雅黑" w:hAnsi="微软雅黑" w:eastAsia="微软雅黑" w:cs="微软雅黑"/>
                <w:bCs/>
                <w:kern w:val="0"/>
                <w:szCs w:val="21"/>
              </w:rPr>
              <w:t>：增加空针残留剂量的测量时间、计算后的空针剂量。增加导出注射医嘱信息。增加MR类型的过滤选项。设计新分装机器再技师软件的连接,新的分药没有上药过程。上药的系数设置。列表上增加采集设备一列内容,同时再左下角检查基本信息上显示采集设备内容。自动分装注射需要进行数据信息的互通。</w:t>
            </w:r>
          </w:p>
          <w:p>
            <w:pPr>
              <w:pStyle w:val="2"/>
              <w:numPr>
                <w:ilvl w:val="0"/>
                <w:numId w:val="19"/>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
                <w:bCs/>
                <w:kern w:val="0"/>
                <w:szCs w:val="21"/>
              </w:rPr>
              <w:t>采集模块</w:t>
            </w:r>
            <w:r>
              <w:rPr>
                <w:rFonts w:hint="eastAsia" w:ascii="微软雅黑" w:hAnsi="微软雅黑" w:eastAsia="微软雅黑" w:cs="微软雅黑"/>
                <w:bCs/>
                <w:kern w:val="0"/>
                <w:szCs w:val="21"/>
              </w:rPr>
              <w:t>：增加采集设备信息。增加MR类型的过滤选项。第一个采集部位和范围修改为 修改成：全身（5分钟）+头部（5分钟）。统计CT扫描第一个选项修改为 头部至大腿上段增强扫描。</w:t>
            </w:r>
          </w:p>
          <w:p>
            <w:pPr>
              <w:pStyle w:val="2"/>
              <w:numPr>
                <w:ilvl w:val="0"/>
                <w:numId w:val="19"/>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
                <w:bCs/>
                <w:kern w:val="0"/>
                <w:szCs w:val="21"/>
              </w:rPr>
              <w:t>运动实验模块</w:t>
            </w:r>
            <w:r>
              <w:rPr>
                <w:rFonts w:hint="eastAsia" w:ascii="微软雅黑" w:hAnsi="微软雅黑" w:eastAsia="微软雅黑" w:cs="微软雅黑"/>
                <w:bCs/>
                <w:kern w:val="0"/>
                <w:szCs w:val="21"/>
              </w:rPr>
              <w:t>：列表上增加采集设备一列内容,同时再左下角检查基本信息上显示采集设备内容。</w:t>
            </w:r>
          </w:p>
          <w:p>
            <w:pPr>
              <w:pStyle w:val="2"/>
              <w:numPr>
                <w:ilvl w:val="0"/>
                <w:numId w:val="19"/>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
                <w:bCs/>
                <w:kern w:val="0"/>
                <w:szCs w:val="21"/>
              </w:rPr>
              <w:t>碳13模块</w:t>
            </w:r>
            <w:r>
              <w:rPr>
                <w:rFonts w:hint="eastAsia" w:ascii="微软雅黑" w:hAnsi="微软雅黑" w:eastAsia="微软雅黑" w:cs="微软雅黑"/>
                <w:bCs/>
                <w:kern w:val="0"/>
                <w:szCs w:val="21"/>
              </w:rPr>
              <w:t>：增加一个患者ID的查询。碳13申请单需要增加结束日期的查询。增加报告状态可以操作员手工调整。要求增加手工确认后再上传的操作。需要增加过滤住院 但是没缴费也可以做的。碳13回传报告的医嘱部分不要再传申请单单号，修改为医嘱号。碳13报告发往自助打印机。碳13增加一个批量打印功能。</w:t>
            </w:r>
          </w:p>
          <w:p>
            <w:pPr>
              <w:pStyle w:val="2"/>
              <w:numPr>
                <w:ilvl w:val="0"/>
                <w:numId w:val="19"/>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
                <w:bCs/>
                <w:kern w:val="0"/>
                <w:szCs w:val="21"/>
              </w:rPr>
              <w:t>报告模块</w:t>
            </w:r>
            <w:r>
              <w:rPr>
                <w:rFonts w:hint="eastAsia" w:ascii="微软雅黑" w:hAnsi="微软雅黑" w:eastAsia="微软雅黑" w:cs="微软雅黑"/>
                <w:bCs/>
                <w:kern w:val="0"/>
                <w:szCs w:val="21"/>
              </w:rPr>
              <w:t>：增加采集设备信息。在NIS报告系统上增加从IIH系统直接调用报告系统并自动登录的功能。所有报告诊断取医院临床诊断。碳13、骨密度改为双签。报告中增强方案，原全身增强，改成颈部至盆腔+头部，胸部至盆腔+头部。根据科室设计的新样式修改全部文字报告模板。优化截图后预览界面显示。截屏图排序调整。按照科室提供的质控需求增加质控模块。增加融合布局模板。阴性和阳性判断操作需要报告医生提交前填写。增加报告医生可以转让报告,或管理员清空报告医生。</w:t>
            </w:r>
          </w:p>
          <w:p>
            <w:pPr>
              <w:pStyle w:val="2"/>
              <w:numPr>
                <w:ilvl w:val="0"/>
                <w:numId w:val="19"/>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
                <w:bCs/>
                <w:kern w:val="0"/>
                <w:szCs w:val="21"/>
              </w:rPr>
              <w:t>审核模块</w:t>
            </w:r>
            <w:r>
              <w:rPr>
                <w:rFonts w:hint="eastAsia" w:ascii="微软雅黑" w:hAnsi="微软雅黑" w:eastAsia="微软雅黑" w:cs="微软雅黑"/>
                <w:bCs/>
                <w:kern w:val="0"/>
                <w:szCs w:val="21"/>
              </w:rPr>
              <w:t>：增加采集设备信息。主任登录后自动提示有未审批的撤回检查列表(检查号,病人姓名,检查项目,检查时间,报告医生,审核医生, 申请撤回时间,申请撤回人,批准时间,批准人,重新提交时间,重新提交人)。对应该检查的审核医生或报告医生，在任何检查状态时都可以删除截图。ect需要有审批医生签名,流程更改为: 明天预约的检查,需要今天的二线值班医生审核批准申请单,当天临时做的检查需要当天的医生审核批准申请单,然后明天正式登记后,电子申请单上会出现审核审批的医生的名字和签名,同时需要将电子申请单的PDF文件通过CA推送到申请医生,谈话医生,审批医生的手机上(不管他是否批复)。</w:t>
            </w:r>
          </w:p>
          <w:p>
            <w:pPr>
              <w:pStyle w:val="2"/>
              <w:numPr>
                <w:ilvl w:val="0"/>
                <w:numId w:val="19"/>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
                <w:bCs/>
                <w:kern w:val="0"/>
                <w:szCs w:val="21"/>
              </w:rPr>
              <w:t>查询模块</w:t>
            </w:r>
            <w:r>
              <w:rPr>
                <w:rFonts w:hint="eastAsia" w:ascii="微软雅黑" w:hAnsi="微软雅黑" w:eastAsia="微软雅黑" w:cs="微软雅黑"/>
                <w:bCs/>
                <w:kern w:val="0"/>
                <w:szCs w:val="21"/>
              </w:rPr>
              <w:t>：增加规培生工作量统计（分为两种,一种是核医学科医生使用的,一种是非核医学科医生使用）。查询统计的关键词需要有或的关系。骨密度的报告时长加入统计。调整查询统计内容。增加日志查询界面和统计界面。以前的设置界面需要到系统设置中，不够直接，可以跟统计界面放一起。</w:t>
            </w:r>
          </w:p>
          <w:p>
            <w:pPr>
              <w:pStyle w:val="2"/>
              <w:numPr>
                <w:ilvl w:val="0"/>
                <w:numId w:val="19"/>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
                <w:bCs/>
                <w:kern w:val="0"/>
                <w:szCs w:val="21"/>
              </w:rPr>
              <w:t>报告分配模块</w:t>
            </w:r>
            <w:r>
              <w:rPr>
                <w:rFonts w:hint="eastAsia" w:ascii="微软雅黑" w:hAnsi="微软雅黑" w:eastAsia="微软雅黑" w:cs="微软雅黑"/>
                <w:bCs/>
                <w:kern w:val="0"/>
                <w:szCs w:val="21"/>
              </w:rPr>
              <w:t>：第一次打卡医生名单需要随机生成顺序,然后后面按照这个顺序来分配，放弃原来随机模式。新增项目(心肌存活 ECT血流灌注PET心肌代谢) 按心脏的分配原则走。碘治疗不参与分配。增加根据项目等级来分配指定医生。增加根据患者类型指定报告医生和审核医生。可以设置加班日期。周六的手动提取功能取消。一线值岗误打卡也不能分报告。</w:t>
            </w:r>
          </w:p>
          <w:p>
            <w:pPr>
              <w:pStyle w:val="2"/>
              <w:numPr>
                <w:ilvl w:val="0"/>
                <w:numId w:val="19"/>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
                <w:bCs/>
                <w:kern w:val="0"/>
                <w:szCs w:val="21"/>
              </w:rPr>
              <w:t>设备管理模块</w:t>
            </w:r>
            <w:r>
              <w:rPr>
                <w:rFonts w:hint="eastAsia" w:ascii="微软雅黑" w:hAnsi="微软雅黑" w:eastAsia="微软雅黑" w:cs="微软雅黑"/>
                <w:bCs/>
                <w:kern w:val="0"/>
                <w:szCs w:val="21"/>
              </w:rPr>
              <w:t>：调整优化界面布局。增加设备的物理位置、编号等参数。增加科室提出的所需的设备查询检索条件。与其它模块的设备条目做关联。</w:t>
            </w:r>
          </w:p>
          <w:p>
            <w:pPr>
              <w:pStyle w:val="2"/>
              <w:numPr>
                <w:ilvl w:val="0"/>
                <w:numId w:val="19"/>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
                <w:bCs/>
                <w:kern w:val="0"/>
                <w:szCs w:val="21"/>
              </w:rPr>
              <w:t>报告上传模块</w:t>
            </w:r>
            <w:r>
              <w:rPr>
                <w:rFonts w:hint="eastAsia" w:ascii="微软雅黑" w:hAnsi="微软雅黑" w:eastAsia="微软雅黑" w:cs="微软雅黑"/>
                <w:bCs/>
                <w:kern w:val="0"/>
                <w:szCs w:val="21"/>
              </w:rPr>
              <w:t>：上传后台自动发送截图改为普通用户，上传后台增加延时处理。</w:t>
            </w:r>
          </w:p>
          <w:p>
            <w:pPr>
              <w:pStyle w:val="2"/>
              <w:numPr>
                <w:ilvl w:val="0"/>
                <w:numId w:val="19"/>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
                <w:bCs/>
                <w:kern w:val="0"/>
                <w:szCs w:val="21"/>
              </w:rPr>
              <w:t>药物管理模块</w:t>
            </w:r>
            <w:r>
              <w:rPr>
                <w:rFonts w:hint="eastAsia" w:ascii="微软雅黑" w:hAnsi="微软雅黑" w:eastAsia="微软雅黑" w:cs="微软雅黑"/>
                <w:bCs/>
                <w:kern w:val="0"/>
                <w:szCs w:val="21"/>
              </w:rPr>
              <w:t>：ECT调整界面上增加导出EXCEL功能，增加排序功能。重新检查调整药物系统字典。增加药物自动退库功能。完善导出EXCEL功能。ECT药物退回也需要导出签名图像。药物系统模板导入模块。RBC药物入库出库统计。</w:t>
            </w:r>
          </w:p>
          <w:p>
            <w:pPr>
              <w:pStyle w:val="2"/>
              <w:numPr>
                <w:ilvl w:val="0"/>
                <w:numId w:val="19"/>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
                <w:bCs/>
                <w:kern w:val="0"/>
                <w:szCs w:val="21"/>
              </w:rPr>
              <w:t>后台有关模块</w:t>
            </w:r>
            <w:r>
              <w:rPr>
                <w:rFonts w:hint="eastAsia" w:ascii="微软雅黑" w:hAnsi="微软雅黑" w:eastAsia="微软雅黑" w:cs="微软雅黑"/>
                <w:bCs/>
                <w:kern w:val="0"/>
                <w:szCs w:val="21"/>
              </w:rPr>
              <w:t>：按照信息科要求在服务器安CDC同步软件。操作日志模块上增加查询。截图操作记录增加查询页面和数据列表。重新修正检查项目字典。针对特殊病人的VIP访问权限控制功能。</w:t>
            </w:r>
          </w:p>
          <w:p>
            <w:pPr>
              <w:pStyle w:val="2"/>
              <w:numPr>
                <w:ilvl w:val="0"/>
                <w:numId w:val="19"/>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
                <w:bCs/>
                <w:kern w:val="0"/>
                <w:szCs w:val="21"/>
              </w:rPr>
              <w:t>在实施过程中，科室提出的需改进的其它内容。</w:t>
            </w:r>
          </w:p>
          <w:p>
            <w:pPr>
              <w:pStyle w:val="2"/>
              <w:snapToGrid w:val="0"/>
              <w:spacing w:after="0" w:line="240" w:lineRule="atLeast"/>
              <w:ind w:left="92" w:leftChars="0"/>
              <w:rPr>
                <w:rFonts w:ascii="微软雅黑" w:hAnsi="微软雅黑" w:eastAsia="微软雅黑" w:cs="微软雅黑"/>
                <w:bCs/>
                <w:kern w:val="0"/>
                <w:szCs w:val="21"/>
              </w:rPr>
            </w:pPr>
          </w:p>
        </w:tc>
      </w:tr>
    </w:tbl>
    <w:p>
      <w:pPr>
        <w:spacing w:line="240" w:lineRule="atLeast"/>
        <w:rPr>
          <w:rFonts w:ascii="微软雅黑" w:hAnsi="微软雅黑" w:eastAsia="微软雅黑" w:cs="微软雅黑"/>
        </w:rPr>
      </w:pPr>
    </w:p>
    <w:p>
      <w:pPr>
        <w:tabs>
          <w:tab w:val="left" w:pos="780"/>
        </w:tabs>
        <w:spacing w:line="240" w:lineRule="atLeast"/>
        <w:ind w:firstLine="420" w:firstLineChars="200"/>
        <w:outlineLvl w:val="0"/>
        <w:rPr>
          <w:rFonts w:ascii="微软雅黑" w:hAnsi="微软雅黑" w:eastAsia="微软雅黑" w:cs="微软雅黑"/>
          <w:szCs w:val="21"/>
        </w:rPr>
      </w:pPr>
      <w:bookmarkStart w:id="2" w:name="_6.1.2、容器服务器"/>
      <w:bookmarkEnd w:id="2"/>
      <w:r>
        <w:rPr>
          <w:rFonts w:hint="eastAsia" w:ascii="微软雅黑" w:hAnsi="微软雅黑" w:eastAsia="微软雅黑" w:cs="微软雅黑"/>
          <w:szCs w:val="21"/>
        </w:rPr>
        <w:t>（一）货物为原制造商制造的软件模块</w:t>
      </w:r>
      <w:r>
        <w:rPr>
          <w:rFonts w:hint="eastAsia" w:ascii="微软雅黑" w:hAnsi="微软雅黑" w:eastAsia="微软雅黑" w:cs="微软雅黑"/>
          <w:szCs w:val="21"/>
        </w:rPr>
        <w:t>，在中国境内可依常规安全合法使用。</w:t>
      </w:r>
    </w:p>
    <w:p>
      <w:pPr>
        <w:tabs>
          <w:tab w:val="left" w:pos="780"/>
        </w:tabs>
        <w:spacing w:line="240" w:lineRule="atLeast"/>
        <w:ind w:firstLine="420" w:firstLineChars="200"/>
        <w:outlineLvl w:val="0"/>
        <w:rPr>
          <w:rFonts w:ascii="微软雅黑" w:hAnsi="微软雅黑" w:eastAsia="微软雅黑" w:cs="微软雅黑"/>
          <w:szCs w:val="21"/>
        </w:rPr>
      </w:pPr>
      <w:r>
        <w:rPr>
          <w:rFonts w:hint="eastAsia" w:ascii="微软雅黑" w:hAnsi="微软雅黑" w:eastAsia="微软雅黑" w:cs="微软雅黑"/>
          <w:szCs w:val="21"/>
        </w:rPr>
        <w:t>（二）标准：本合同所指的货物及服务应符合合同附件的技术规格所述的标准：如果没有提及适用标准，则应符合中华人民共和国国家标准或行业标准；如果中华人民共和国没有相关标准的，则采用货物来源国适用的官方标准。这些标准必须是有关机构发布的最新版本的标准。</w:t>
      </w:r>
    </w:p>
    <w:p>
      <w:pPr>
        <w:tabs>
          <w:tab w:val="left" w:pos="780"/>
        </w:tabs>
        <w:spacing w:line="240" w:lineRule="atLeast"/>
        <w:ind w:firstLine="420" w:firstLineChars="200"/>
        <w:outlineLvl w:val="0"/>
        <w:rPr>
          <w:rFonts w:ascii="微软雅黑" w:hAnsi="微软雅黑" w:eastAsia="微软雅黑" w:cs="微软雅黑"/>
          <w:szCs w:val="21"/>
        </w:rPr>
      </w:pPr>
    </w:p>
    <w:p>
      <w:pPr>
        <w:pStyle w:val="3"/>
        <w:numPr>
          <w:ilvl w:val="0"/>
          <w:numId w:val="3"/>
        </w:numPr>
        <w:spacing w:before="0" w:after="0" w:line="240" w:lineRule="atLeast"/>
        <w:rPr>
          <w:rFonts w:ascii="微软雅黑" w:hAnsi="微软雅黑" w:eastAsia="微软雅黑" w:cs="微软雅黑"/>
          <w:sz w:val="21"/>
          <w:szCs w:val="21"/>
        </w:rPr>
      </w:pPr>
      <w:r>
        <w:rPr>
          <w:rFonts w:hint="eastAsia" w:ascii="微软雅黑" w:hAnsi="微软雅黑" w:eastAsia="微软雅黑" w:cs="微软雅黑"/>
          <w:sz w:val="32"/>
          <w:szCs w:val="32"/>
        </w:rPr>
        <w:t>交货日期</w:t>
      </w:r>
    </w:p>
    <w:p>
      <w:pPr>
        <w:spacing w:line="240" w:lineRule="atLeast"/>
        <w:ind w:firstLine="525" w:firstLineChars="250"/>
        <w:rPr>
          <w:rFonts w:ascii="微软雅黑" w:hAnsi="微软雅黑" w:eastAsia="微软雅黑" w:cs="微软雅黑"/>
          <w:szCs w:val="21"/>
        </w:rPr>
      </w:pPr>
      <w:r>
        <w:rPr>
          <w:rFonts w:hint="eastAsia" w:ascii="微软雅黑" w:hAnsi="微软雅黑" w:eastAsia="微软雅黑" w:cs="微软雅黑"/>
          <w:szCs w:val="21"/>
        </w:rPr>
        <w:t>(一)供货方须在院方支付合同首款后的 6 个月内</w:t>
      </w:r>
      <w:r>
        <w:rPr>
          <w:rFonts w:hint="eastAsia" w:ascii="微软雅黑" w:hAnsi="微软雅黑" w:eastAsia="微软雅黑" w:cs="微软雅黑"/>
          <w:szCs w:val="21"/>
        </w:rPr>
        <w:t>向院方提交采购清单中的物品。</w:t>
      </w:r>
    </w:p>
    <w:p>
      <w:pPr>
        <w:spacing w:line="240" w:lineRule="atLeast"/>
        <w:ind w:firstLine="525" w:firstLineChars="250"/>
        <w:rPr>
          <w:rFonts w:ascii="微软雅黑" w:hAnsi="微软雅黑" w:eastAsia="微软雅黑" w:cs="微软雅黑"/>
          <w:szCs w:val="21"/>
        </w:rPr>
      </w:pPr>
      <w:r>
        <w:rPr>
          <w:rFonts w:hint="eastAsia" w:ascii="微软雅黑" w:hAnsi="微软雅黑" w:eastAsia="微软雅黑" w:cs="微软雅黑"/>
          <w:szCs w:val="21"/>
        </w:rPr>
        <w:t>(二)交货日期以货物到达院方指定货运详细地址的日期为准。</w:t>
      </w:r>
    </w:p>
    <w:p>
      <w:pPr>
        <w:spacing w:line="240" w:lineRule="atLeast"/>
        <w:ind w:firstLine="525" w:firstLineChars="250"/>
        <w:rPr>
          <w:rFonts w:ascii="微软雅黑" w:hAnsi="微软雅黑" w:eastAsia="微软雅黑" w:cs="微软雅黑"/>
          <w:szCs w:val="21"/>
        </w:rPr>
      </w:pPr>
    </w:p>
    <w:p>
      <w:pPr>
        <w:numPr>
          <w:ilvl w:val="0"/>
          <w:numId w:val="3"/>
        </w:numPr>
        <w:spacing w:line="240" w:lineRule="atLeast"/>
        <w:rPr>
          <w:rFonts w:ascii="微软雅黑" w:hAnsi="微软雅黑" w:eastAsia="微软雅黑" w:cs="微软雅黑"/>
          <w:b/>
          <w:bCs/>
          <w:kern w:val="44"/>
          <w:sz w:val="32"/>
          <w:szCs w:val="32"/>
          <w:lang w:val="zh-CN"/>
        </w:rPr>
      </w:pPr>
      <w:r>
        <w:rPr>
          <w:rFonts w:hint="eastAsia" w:ascii="微软雅黑" w:hAnsi="微软雅黑" w:eastAsia="微软雅黑" w:cs="微软雅黑"/>
          <w:b/>
          <w:bCs/>
          <w:kern w:val="44"/>
          <w:sz w:val="32"/>
          <w:szCs w:val="32"/>
          <w:lang w:val="zh-CN"/>
        </w:rPr>
        <w:t>交货方式</w:t>
      </w:r>
    </w:p>
    <w:p>
      <w:pPr>
        <w:spacing w:line="240" w:lineRule="atLeast"/>
        <w:ind w:firstLine="525" w:firstLineChars="250"/>
        <w:rPr>
          <w:rFonts w:ascii="微软雅黑" w:hAnsi="微软雅黑" w:eastAsia="微软雅黑" w:cs="微软雅黑"/>
          <w:szCs w:val="21"/>
        </w:rPr>
      </w:pPr>
      <w:r>
        <w:rPr>
          <w:rFonts w:hint="eastAsia" w:ascii="微软雅黑" w:hAnsi="微软雅黑" w:eastAsia="微软雅黑" w:cs="微软雅黑"/>
          <w:szCs w:val="21"/>
        </w:rPr>
        <w:t>(一)供货方应按时将货物送至院方指定货运详细地址。</w:t>
      </w:r>
    </w:p>
    <w:p>
      <w:pPr>
        <w:spacing w:line="240" w:lineRule="atLeast"/>
        <w:ind w:firstLine="525" w:firstLineChars="250"/>
        <w:rPr>
          <w:rFonts w:ascii="微软雅黑" w:hAnsi="微软雅黑" w:eastAsia="微软雅黑" w:cs="微软雅黑"/>
          <w:szCs w:val="21"/>
        </w:rPr>
      </w:pPr>
      <w:r>
        <w:rPr>
          <w:rFonts w:hint="eastAsia" w:ascii="微软雅黑" w:hAnsi="微软雅黑" w:eastAsia="微软雅黑" w:cs="微软雅黑"/>
          <w:szCs w:val="21"/>
        </w:rPr>
        <w:t>(二)交货完成的有效证明：供货方送货人，必须随货物提交交货签收单给院方收货人，交货签收单必须有院方、供货方两方的签字方有效。</w:t>
      </w:r>
    </w:p>
    <w:p>
      <w:pPr>
        <w:spacing w:line="240" w:lineRule="atLeast"/>
        <w:rPr>
          <w:rFonts w:ascii="微软雅黑" w:hAnsi="微软雅黑" w:eastAsia="微软雅黑" w:cs="微软雅黑"/>
        </w:rPr>
      </w:pPr>
    </w:p>
    <w:p>
      <w:pPr>
        <w:numPr>
          <w:ilvl w:val="0"/>
          <w:numId w:val="3"/>
        </w:numPr>
        <w:spacing w:line="240" w:lineRule="atLeast"/>
        <w:rPr>
          <w:rFonts w:ascii="微软雅黑" w:hAnsi="微软雅黑" w:eastAsia="微软雅黑" w:cs="微软雅黑"/>
          <w:b/>
          <w:bCs/>
          <w:kern w:val="44"/>
          <w:sz w:val="32"/>
          <w:szCs w:val="32"/>
          <w:lang w:val="zh-CN"/>
        </w:rPr>
      </w:pPr>
      <w:r>
        <w:rPr>
          <w:rFonts w:hint="eastAsia" w:ascii="微软雅黑" w:hAnsi="微软雅黑" w:eastAsia="微软雅黑" w:cs="微软雅黑"/>
          <w:b/>
          <w:bCs/>
          <w:kern w:val="44"/>
          <w:sz w:val="32"/>
          <w:szCs w:val="32"/>
          <w:lang w:val="zh-CN"/>
        </w:rPr>
        <w:t>安装要求</w:t>
      </w:r>
    </w:p>
    <w:p>
      <w:pPr>
        <w:spacing w:line="240" w:lineRule="atLeast"/>
        <w:ind w:firstLine="525" w:firstLineChars="250"/>
        <w:rPr>
          <w:rFonts w:ascii="微软雅黑" w:hAnsi="微软雅黑" w:eastAsia="微软雅黑" w:cs="微软雅黑"/>
          <w:szCs w:val="21"/>
        </w:rPr>
      </w:pPr>
      <w:r>
        <w:rPr>
          <w:rFonts w:hint="eastAsia" w:ascii="微软雅黑" w:hAnsi="微软雅黑" w:eastAsia="微软雅黑" w:cs="微软雅黑"/>
          <w:szCs w:val="21"/>
        </w:rPr>
        <w:t>(一)供货方负责合同项下设备的安装调试，并按院方要求，免费提供本项目下的搬迁工作。</w:t>
      </w:r>
    </w:p>
    <w:p>
      <w:pPr>
        <w:spacing w:line="240" w:lineRule="atLeast"/>
        <w:ind w:firstLine="525" w:firstLineChars="250"/>
        <w:rPr>
          <w:rFonts w:ascii="微软雅黑" w:hAnsi="微软雅黑" w:eastAsia="微软雅黑" w:cs="微软雅黑"/>
          <w:szCs w:val="21"/>
        </w:rPr>
      </w:pPr>
      <w:r>
        <w:rPr>
          <w:rFonts w:hint="eastAsia" w:ascii="微软雅黑" w:hAnsi="微软雅黑" w:eastAsia="微软雅黑" w:cs="微软雅黑"/>
          <w:szCs w:val="21"/>
        </w:rPr>
        <w:t>(二)供货方应按院方指定的安装日期、安装要求进行安装工作。</w:t>
      </w:r>
    </w:p>
    <w:p>
      <w:pPr>
        <w:spacing w:line="240" w:lineRule="atLeast"/>
        <w:ind w:firstLine="525" w:firstLineChars="250"/>
        <w:rPr>
          <w:rFonts w:ascii="微软雅黑" w:hAnsi="微软雅黑" w:eastAsia="微软雅黑" w:cs="微软雅黑"/>
          <w:szCs w:val="21"/>
        </w:rPr>
      </w:pPr>
      <w:r>
        <w:rPr>
          <w:rFonts w:hint="eastAsia" w:ascii="微软雅黑" w:hAnsi="微软雅黑" w:eastAsia="微软雅黑" w:cs="微软雅黑"/>
          <w:szCs w:val="21"/>
        </w:rPr>
        <w:t>(三)供货方需根据院方的详细需求，提交项目产品的安装、调试及培训实施方案，方案得到院方确认后实施，保证系统按时、正常地投入运行。</w:t>
      </w:r>
    </w:p>
    <w:p>
      <w:pPr>
        <w:spacing w:line="240" w:lineRule="atLeast"/>
        <w:ind w:firstLine="525" w:firstLineChars="250"/>
        <w:rPr>
          <w:rFonts w:ascii="微软雅黑" w:hAnsi="微软雅黑" w:eastAsia="微软雅黑" w:cs="微软雅黑"/>
          <w:szCs w:val="21"/>
        </w:rPr>
      </w:pPr>
    </w:p>
    <w:p>
      <w:pPr>
        <w:numPr>
          <w:ilvl w:val="0"/>
          <w:numId w:val="3"/>
        </w:numPr>
        <w:spacing w:line="240" w:lineRule="atLeast"/>
        <w:rPr>
          <w:rFonts w:ascii="微软雅黑" w:hAnsi="微软雅黑" w:eastAsia="微软雅黑" w:cs="微软雅黑"/>
          <w:b/>
          <w:bCs/>
          <w:kern w:val="44"/>
          <w:sz w:val="32"/>
          <w:szCs w:val="32"/>
          <w:lang w:val="zh-CN"/>
        </w:rPr>
      </w:pPr>
      <w:r>
        <w:rPr>
          <w:rFonts w:hint="eastAsia" w:ascii="微软雅黑" w:hAnsi="微软雅黑" w:eastAsia="微软雅黑" w:cs="微软雅黑"/>
          <w:b/>
          <w:bCs/>
          <w:kern w:val="44"/>
          <w:sz w:val="32"/>
          <w:szCs w:val="32"/>
          <w:lang w:val="zh-CN"/>
        </w:rPr>
        <w:t>保修服务</w:t>
      </w:r>
    </w:p>
    <w:p>
      <w:pPr>
        <w:spacing w:line="240" w:lineRule="atLeast"/>
        <w:ind w:firstLine="525" w:firstLineChars="250"/>
        <w:rPr>
          <w:rFonts w:ascii="微软雅黑" w:hAnsi="微软雅黑" w:eastAsia="微软雅黑" w:cs="微软雅黑"/>
          <w:szCs w:val="21"/>
        </w:rPr>
      </w:pPr>
      <w:r>
        <w:rPr>
          <w:rFonts w:hint="eastAsia" w:ascii="微软雅黑" w:hAnsi="微软雅黑" w:eastAsia="微软雅黑" w:cs="微软雅黑"/>
          <w:szCs w:val="21"/>
        </w:rPr>
        <w:t>(一)整系统</w:t>
      </w:r>
      <w:r>
        <w:rPr>
          <w:rFonts w:hint="eastAsia" w:ascii="微软雅黑" w:hAnsi="微软雅黑" w:eastAsia="微软雅黑" w:cs="微软雅黑"/>
          <w:szCs w:val="21"/>
        </w:rPr>
        <w:t>保修；保修期自验收合格之日起计算。</w:t>
      </w:r>
    </w:p>
    <w:p>
      <w:pPr>
        <w:spacing w:line="240" w:lineRule="atLeast"/>
        <w:ind w:firstLine="525" w:firstLineChars="250"/>
        <w:rPr>
          <w:rFonts w:ascii="微软雅黑" w:hAnsi="微软雅黑" w:eastAsia="微软雅黑" w:cs="微软雅黑"/>
          <w:szCs w:val="21"/>
        </w:rPr>
      </w:pPr>
      <w:r>
        <w:rPr>
          <w:rFonts w:hint="eastAsia" w:ascii="微软雅黑" w:hAnsi="微软雅黑" w:eastAsia="微软雅黑" w:cs="微软雅黑"/>
          <w:szCs w:val="21"/>
        </w:rPr>
        <w:t>(二)提供 2年 原 厂家保修服务。</w:t>
      </w:r>
    </w:p>
    <w:p>
      <w:pPr>
        <w:spacing w:line="240" w:lineRule="atLeast"/>
        <w:ind w:firstLine="525" w:firstLineChars="250"/>
        <w:rPr>
          <w:rFonts w:ascii="微软雅黑" w:hAnsi="微软雅黑" w:eastAsia="微软雅黑" w:cs="微软雅黑"/>
          <w:szCs w:val="21"/>
        </w:rPr>
      </w:pPr>
      <w:r>
        <w:rPr>
          <w:rFonts w:hint="eastAsia" w:ascii="微软雅黑" w:hAnsi="微软雅黑" w:eastAsia="微软雅黑" w:cs="微软雅黑"/>
          <w:szCs w:val="21"/>
        </w:rPr>
        <w:t>(三)在免费维护期结束前，须由供货方和院方进行一次全面检查，任何缺陷必须由供货方负责修复，在修复之后，供货方应将缺陷原因、修复内容、完成修理及恢复正常的时间和日期等报告给院方，形成项目总结报告。</w:t>
      </w:r>
    </w:p>
    <w:p>
      <w:pPr>
        <w:spacing w:line="240" w:lineRule="atLeast"/>
        <w:ind w:firstLine="525" w:firstLineChars="250"/>
        <w:rPr>
          <w:rFonts w:ascii="微软雅黑" w:hAnsi="微软雅黑" w:eastAsia="微软雅黑" w:cs="微软雅黑"/>
          <w:szCs w:val="21"/>
        </w:rPr>
      </w:pPr>
      <w:r>
        <w:rPr>
          <w:rFonts w:hint="eastAsia" w:ascii="微软雅黑" w:hAnsi="微软雅黑" w:eastAsia="微软雅黑" w:cs="微软雅黑"/>
          <w:szCs w:val="21"/>
        </w:rPr>
        <w:t>(四)超过免费维护期的，双方另行协商签订维护合同，软件模块</w:t>
      </w:r>
      <w:r>
        <w:rPr>
          <w:rFonts w:hint="eastAsia" w:ascii="微软雅黑" w:hAnsi="微软雅黑" w:eastAsia="微软雅黑" w:cs="微软雅黑"/>
          <w:szCs w:val="21"/>
        </w:rPr>
        <w:t>的维护报价不超过合同信息设备（产品）部分金额的</w:t>
      </w:r>
      <w:r>
        <w:rPr>
          <w:rFonts w:hint="eastAsia" w:ascii="微软雅黑" w:hAnsi="微软雅黑" w:eastAsia="微软雅黑" w:cs="微软雅黑"/>
          <w:szCs w:val="21"/>
          <w:lang w:val="en-US" w:eastAsia="zh-CN"/>
        </w:rPr>
        <w:t>8</w:t>
      </w:r>
      <w:r>
        <w:rPr>
          <w:rFonts w:hint="eastAsia" w:ascii="微软雅黑" w:hAnsi="微软雅黑" w:eastAsia="微软雅黑" w:cs="微软雅黑"/>
          <w:szCs w:val="21"/>
        </w:rPr>
        <w:t>%。</w:t>
      </w:r>
    </w:p>
    <w:p>
      <w:pPr>
        <w:spacing w:line="240" w:lineRule="atLeast"/>
        <w:ind w:firstLine="525" w:firstLineChars="250"/>
        <w:rPr>
          <w:rFonts w:ascii="微软雅黑" w:hAnsi="微软雅黑" w:eastAsia="微软雅黑" w:cs="微软雅黑"/>
          <w:szCs w:val="21"/>
        </w:rPr>
      </w:pPr>
      <w:r>
        <w:rPr>
          <w:rFonts w:hint="eastAsia" w:ascii="微软雅黑" w:hAnsi="微软雅黑" w:eastAsia="微软雅黑" w:cs="微软雅黑"/>
          <w:szCs w:val="21"/>
        </w:rPr>
        <w:t>售后服务：提供</w:t>
      </w:r>
      <w:r>
        <w:rPr>
          <w:rFonts w:hint="eastAsia" w:ascii="微软雅黑" w:hAnsi="微软雅黑" w:eastAsia="微软雅黑" w:cs="微软雅黑"/>
          <w:szCs w:val="21"/>
          <w:u w:val="single"/>
        </w:rPr>
        <w:t xml:space="preserve"> 原厂 </w:t>
      </w:r>
      <w:r>
        <w:rPr>
          <w:rFonts w:hint="eastAsia" w:ascii="微软雅黑" w:hAnsi="微软雅黑" w:eastAsia="微软雅黑" w:cs="微软雅黑"/>
          <w:szCs w:val="21"/>
        </w:rPr>
        <w:t>厂家7*24小时免费维修服务。</w:t>
      </w:r>
    </w:p>
    <w:p>
      <w:pPr>
        <w:spacing w:line="240" w:lineRule="atLeast"/>
        <w:ind w:firstLine="525" w:firstLineChars="250"/>
        <w:rPr>
          <w:rFonts w:ascii="微软雅黑" w:hAnsi="微软雅黑" w:eastAsia="微软雅黑" w:cs="微软雅黑"/>
          <w:szCs w:val="21"/>
        </w:rPr>
      </w:pPr>
      <w:r>
        <w:rPr>
          <w:rFonts w:hint="eastAsia" w:ascii="微软雅黑" w:hAnsi="微软雅黑" w:eastAsia="微软雅黑" w:cs="微软雅黑"/>
          <w:szCs w:val="21"/>
        </w:rPr>
        <w:t>响应时间、方式：2小时内响应到院方报修处。</w:t>
      </w:r>
    </w:p>
    <w:p>
      <w:pPr>
        <w:spacing w:line="240" w:lineRule="atLeast"/>
        <w:ind w:firstLine="525" w:firstLineChars="250"/>
        <w:rPr>
          <w:rFonts w:ascii="微软雅黑" w:hAnsi="微软雅黑" w:eastAsia="微软雅黑" w:cs="微软雅黑"/>
          <w:szCs w:val="21"/>
        </w:rPr>
      </w:pPr>
    </w:p>
    <w:p>
      <w:pPr>
        <w:pStyle w:val="3"/>
        <w:numPr>
          <w:ilvl w:val="0"/>
          <w:numId w:val="3"/>
        </w:numPr>
        <w:spacing w:before="0" w:after="0" w:line="240" w:lineRule="atLeast"/>
        <w:rPr>
          <w:rFonts w:ascii="微软雅黑" w:hAnsi="微软雅黑" w:eastAsia="微软雅黑" w:cs="微软雅黑"/>
          <w:color w:val="FF0000"/>
          <w:sz w:val="32"/>
          <w:szCs w:val="32"/>
        </w:rPr>
      </w:pPr>
      <w:r>
        <w:rPr>
          <w:rFonts w:hint="eastAsia" w:ascii="微软雅黑" w:hAnsi="微软雅黑" w:eastAsia="微软雅黑" w:cs="微软雅黑"/>
          <w:sz w:val="32"/>
          <w:szCs w:val="32"/>
        </w:rPr>
        <w:t>合同款支付方式</w:t>
      </w:r>
    </w:p>
    <w:p>
      <w:pPr>
        <w:tabs>
          <w:tab w:val="left" w:pos="780"/>
        </w:tabs>
        <w:spacing w:line="240" w:lineRule="atLeast"/>
        <w:ind w:firstLine="630" w:firstLineChars="300"/>
        <w:outlineLvl w:val="0"/>
        <w:rPr>
          <w:rFonts w:hint="eastAsia" w:ascii="微软雅黑" w:hAnsi="微软雅黑" w:eastAsia="微软雅黑" w:cs="微软雅黑"/>
          <w:szCs w:val="21"/>
        </w:rPr>
      </w:pPr>
      <w:r>
        <w:rPr>
          <w:rFonts w:hint="eastAsia" w:ascii="微软雅黑" w:hAnsi="微软雅黑" w:eastAsia="微软雅黑" w:cs="微软雅黑"/>
          <w:szCs w:val="21"/>
        </w:rPr>
        <w:t>(一)合同签订后，甲方在收到乙方开具相应金额正式发票后，向乙方支付合同总金额的30%，共计人民币_________元（大写：人民币_________元整）。</w:t>
      </w:r>
    </w:p>
    <w:p>
      <w:pPr>
        <w:tabs>
          <w:tab w:val="left" w:pos="780"/>
        </w:tabs>
        <w:spacing w:line="240" w:lineRule="atLeast"/>
        <w:ind w:firstLine="630" w:firstLineChars="300"/>
        <w:outlineLvl w:val="0"/>
        <w:rPr>
          <w:rFonts w:hint="eastAsia" w:ascii="微软雅黑" w:hAnsi="微软雅黑" w:eastAsia="微软雅黑" w:cs="微软雅黑"/>
          <w:szCs w:val="21"/>
        </w:rPr>
      </w:pPr>
      <w:r>
        <w:rPr>
          <w:rFonts w:hint="eastAsia" w:ascii="微软雅黑" w:hAnsi="微软雅黑" w:eastAsia="微软雅黑" w:cs="微软雅黑"/>
          <w:szCs w:val="21"/>
        </w:rPr>
        <w:t>(二)软件验收通过后，甲方在收到乙方开具相应金额正式发票后，</w:t>
      </w:r>
      <w:bookmarkStart w:id="3" w:name="_GoBack"/>
      <w:bookmarkEnd w:id="3"/>
      <w:r>
        <w:rPr>
          <w:rFonts w:hint="eastAsia" w:ascii="微软雅黑" w:hAnsi="微软雅黑" w:eastAsia="微软雅黑" w:cs="微软雅黑"/>
          <w:szCs w:val="21"/>
        </w:rPr>
        <w:t>向乙方支付合同总金额的65%，共计人民币_________元（大写：人民币_________元整）。</w:t>
      </w:r>
    </w:p>
    <w:p>
      <w:pPr>
        <w:tabs>
          <w:tab w:val="left" w:pos="780"/>
        </w:tabs>
        <w:spacing w:line="240" w:lineRule="atLeast"/>
        <w:ind w:firstLine="630" w:firstLineChars="300"/>
        <w:outlineLvl w:val="0"/>
        <w:rPr>
          <w:rFonts w:hint="eastAsia" w:ascii="微软雅黑" w:hAnsi="微软雅黑" w:eastAsia="微软雅黑" w:cs="微软雅黑"/>
          <w:szCs w:val="21"/>
        </w:rPr>
      </w:pPr>
      <w:r>
        <w:rPr>
          <w:rFonts w:hint="eastAsia" w:ascii="微软雅黑" w:hAnsi="微软雅黑" w:eastAsia="微软雅黑" w:cs="微软雅黑"/>
          <w:szCs w:val="21"/>
        </w:rPr>
        <w:t>(三)软件维护期结束后，由甲方对乙方在服务期内应完成任务进行确认并通过后1个月内，甲方向乙方支付最后一笔尾款；甲方在收到乙方开具相应金额正式发票后，向乙方支付合同总金额5%的维护费，共计人民币_________元（大写：人民币_________元整）。</w:t>
      </w:r>
    </w:p>
    <w:sectPr>
      <w:footerReference r:id="rId3" w:type="default"/>
      <w:pgSz w:w="11906" w:h="16838"/>
      <w:pgMar w:top="1021" w:right="1418" w:bottom="102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left="1441"/>
      <w:jc w:val="center"/>
      <w:rPr>
        <w:caps/>
        <w:color w:val="5B9BD5"/>
      </w:rPr>
    </w:pPr>
    <w:r>
      <w:rPr>
        <w:caps/>
        <w:color w:val="5B9BD5"/>
      </w:rPr>
      <w:fldChar w:fldCharType="begin"/>
    </w:r>
    <w:r>
      <w:rPr>
        <w:caps/>
        <w:color w:val="5B9BD5"/>
      </w:rPr>
      <w:instrText xml:space="preserve">PAGE   \* MERGEFORMAT</w:instrText>
    </w:r>
    <w:r>
      <w:rPr>
        <w:caps/>
        <w:color w:val="5B9BD5"/>
      </w:rPr>
      <w:fldChar w:fldCharType="separate"/>
    </w:r>
    <w:r>
      <w:rPr>
        <w:caps/>
        <w:color w:val="5B9BD5"/>
      </w:rPr>
      <w:t>11</w:t>
    </w:r>
    <w:r>
      <w:rPr>
        <w:caps/>
        <w:color w:val="5B9BD5"/>
      </w:rPr>
      <w:fldChar w:fldCharType="end"/>
    </w:r>
  </w:p>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881D94"/>
    <w:multiLevelType w:val="singleLevel"/>
    <w:tmpl w:val="B9881D94"/>
    <w:lvl w:ilvl="0" w:tentative="0">
      <w:start w:val="1"/>
      <w:numFmt w:val="decimal"/>
      <w:suff w:val="nothing"/>
      <w:lvlText w:val="%1"/>
      <w:lvlJc w:val="left"/>
      <w:pPr>
        <w:ind w:left="0" w:firstLine="0"/>
      </w:pPr>
      <w:rPr>
        <w:rFonts w:hint="default"/>
        <w:b w:val="0"/>
      </w:rPr>
    </w:lvl>
  </w:abstractNum>
  <w:abstractNum w:abstractNumId="1">
    <w:nsid w:val="081E15F9"/>
    <w:multiLevelType w:val="multilevel"/>
    <w:tmpl w:val="081E15F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C606E9C"/>
    <w:multiLevelType w:val="multilevel"/>
    <w:tmpl w:val="0C606E9C"/>
    <w:lvl w:ilvl="0" w:tentative="0">
      <w:start w:val="1"/>
      <w:numFmt w:val="decimal"/>
      <w:lvlText w:val="%1."/>
      <w:lvlJc w:val="left"/>
      <w:pPr>
        <w:ind w:left="-420" w:hanging="420"/>
      </w:pPr>
    </w:lvl>
    <w:lvl w:ilvl="1" w:tentative="0">
      <w:start w:val="1"/>
      <w:numFmt w:val="lowerLetter"/>
      <w:lvlText w:val="%2)"/>
      <w:lvlJc w:val="left"/>
      <w:pPr>
        <w:ind w:left="0" w:hanging="420"/>
      </w:pPr>
    </w:lvl>
    <w:lvl w:ilvl="2" w:tentative="0">
      <w:start w:val="1"/>
      <w:numFmt w:val="lowerRoman"/>
      <w:lvlText w:val="%3."/>
      <w:lvlJc w:val="right"/>
      <w:pPr>
        <w:ind w:left="420" w:hanging="420"/>
      </w:pPr>
    </w:lvl>
    <w:lvl w:ilvl="3" w:tentative="0">
      <w:start w:val="1"/>
      <w:numFmt w:val="decimal"/>
      <w:lvlText w:val="%4."/>
      <w:lvlJc w:val="left"/>
      <w:pPr>
        <w:ind w:left="840" w:hanging="420"/>
      </w:pPr>
    </w:lvl>
    <w:lvl w:ilvl="4" w:tentative="0">
      <w:start w:val="1"/>
      <w:numFmt w:val="lowerLetter"/>
      <w:lvlText w:val="%5)"/>
      <w:lvlJc w:val="left"/>
      <w:pPr>
        <w:ind w:left="1260" w:hanging="420"/>
      </w:pPr>
    </w:lvl>
    <w:lvl w:ilvl="5" w:tentative="0">
      <w:start w:val="1"/>
      <w:numFmt w:val="lowerRoman"/>
      <w:lvlText w:val="%6."/>
      <w:lvlJc w:val="right"/>
      <w:pPr>
        <w:ind w:left="1680" w:hanging="420"/>
      </w:pPr>
    </w:lvl>
    <w:lvl w:ilvl="6" w:tentative="0">
      <w:start w:val="1"/>
      <w:numFmt w:val="decimal"/>
      <w:lvlText w:val="%7."/>
      <w:lvlJc w:val="left"/>
      <w:pPr>
        <w:ind w:left="2100" w:hanging="420"/>
      </w:pPr>
    </w:lvl>
    <w:lvl w:ilvl="7" w:tentative="0">
      <w:start w:val="1"/>
      <w:numFmt w:val="lowerLetter"/>
      <w:lvlText w:val="%8)"/>
      <w:lvlJc w:val="left"/>
      <w:pPr>
        <w:ind w:left="2520" w:hanging="420"/>
      </w:pPr>
    </w:lvl>
    <w:lvl w:ilvl="8" w:tentative="0">
      <w:start w:val="1"/>
      <w:numFmt w:val="lowerRoman"/>
      <w:lvlText w:val="%9."/>
      <w:lvlJc w:val="right"/>
      <w:pPr>
        <w:ind w:left="2940" w:hanging="420"/>
      </w:pPr>
    </w:lvl>
  </w:abstractNum>
  <w:abstractNum w:abstractNumId="3">
    <w:nsid w:val="16FA3C0B"/>
    <w:multiLevelType w:val="multilevel"/>
    <w:tmpl w:val="16FA3C0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AE337B"/>
    <w:multiLevelType w:val="multilevel"/>
    <w:tmpl w:val="1EAE337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2D752A2"/>
    <w:multiLevelType w:val="multilevel"/>
    <w:tmpl w:val="22D752A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9015205"/>
    <w:multiLevelType w:val="multilevel"/>
    <w:tmpl w:val="29015205"/>
    <w:lvl w:ilvl="0" w:tentative="0">
      <w:start w:val="1"/>
      <w:numFmt w:val="decimal"/>
      <w:pStyle w:val="3"/>
      <w:lvlText w:val="%1"/>
      <w:lvlJc w:val="left"/>
      <w:pPr>
        <w:ind w:left="432" w:hanging="432"/>
      </w:pPr>
      <w:rPr>
        <w:rFonts w:hint="eastAsia"/>
      </w:rPr>
    </w:lvl>
    <w:lvl w:ilvl="1" w:tentative="0">
      <w:start w:val="1"/>
      <w:numFmt w:val="decimal"/>
      <w:lvlText w:val="4.%2"/>
      <w:lvlJc w:val="left"/>
      <w:pPr>
        <w:ind w:left="576" w:hanging="576"/>
      </w:pPr>
      <w:rPr>
        <w:rFonts w:hint="eastAsia"/>
      </w:rPr>
    </w:lvl>
    <w:lvl w:ilvl="2" w:tentative="0">
      <w:start w:val="1"/>
      <w:numFmt w:val="decimal"/>
      <w:lvlText w:val="6.2.%3"/>
      <w:lvlJc w:val="left"/>
      <w:pPr>
        <w:ind w:left="720" w:hanging="720"/>
      </w:pPr>
      <w:rPr>
        <w:rFonts w:hint="eastAsia"/>
      </w:rPr>
    </w:lvl>
    <w:lvl w:ilvl="3" w:tentative="0">
      <w:start w:val="1"/>
      <w:numFmt w:val="decimal"/>
      <w:pStyle w:val="6"/>
      <w:lvlText w:val="5.1.1.%4"/>
      <w:lvlJc w:val="left"/>
      <w:pPr>
        <w:ind w:left="864" w:hanging="864"/>
      </w:pPr>
      <w:rPr>
        <w:rFonts w:hint="eastAsia"/>
      </w:rPr>
    </w:lvl>
    <w:lvl w:ilvl="4" w:tentative="0">
      <w:start w:val="1"/>
      <w:numFmt w:val="decimal"/>
      <w:pStyle w:val="7"/>
      <w:lvlText w:val="5.1.1.1.%5"/>
      <w:lvlJc w:val="left"/>
      <w:pPr>
        <w:ind w:left="2142" w:hanging="1008"/>
      </w:pPr>
      <w:rPr>
        <w:rFonts w:hint="eastAsia"/>
      </w:rPr>
    </w:lvl>
    <w:lvl w:ilvl="5" w:tentative="0">
      <w:start w:val="1"/>
      <w:numFmt w:val="decimal"/>
      <w:pStyle w:val="8"/>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7">
    <w:nsid w:val="343463B2"/>
    <w:multiLevelType w:val="multilevel"/>
    <w:tmpl w:val="343463B2"/>
    <w:lvl w:ilvl="0" w:tentative="0">
      <w:start w:val="1"/>
      <w:numFmt w:val="decimal"/>
      <w:lvlText w:val="%1."/>
      <w:lvlJc w:val="left"/>
      <w:pPr>
        <w:ind w:left="-420" w:hanging="420"/>
      </w:pPr>
    </w:lvl>
    <w:lvl w:ilvl="1" w:tentative="0">
      <w:start w:val="1"/>
      <w:numFmt w:val="lowerLetter"/>
      <w:lvlText w:val="%2)"/>
      <w:lvlJc w:val="left"/>
      <w:pPr>
        <w:ind w:left="0" w:hanging="420"/>
      </w:pPr>
    </w:lvl>
    <w:lvl w:ilvl="2" w:tentative="0">
      <w:start w:val="1"/>
      <w:numFmt w:val="lowerRoman"/>
      <w:lvlText w:val="%3."/>
      <w:lvlJc w:val="right"/>
      <w:pPr>
        <w:ind w:left="420" w:hanging="420"/>
      </w:pPr>
    </w:lvl>
    <w:lvl w:ilvl="3" w:tentative="0">
      <w:start w:val="1"/>
      <w:numFmt w:val="decimal"/>
      <w:lvlText w:val="%4."/>
      <w:lvlJc w:val="left"/>
      <w:pPr>
        <w:ind w:left="840" w:hanging="420"/>
      </w:pPr>
    </w:lvl>
    <w:lvl w:ilvl="4" w:tentative="0">
      <w:start w:val="1"/>
      <w:numFmt w:val="lowerLetter"/>
      <w:lvlText w:val="%5)"/>
      <w:lvlJc w:val="left"/>
      <w:pPr>
        <w:ind w:left="1260" w:hanging="420"/>
      </w:pPr>
    </w:lvl>
    <w:lvl w:ilvl="5" w:tentative="0">
      <w:start w:val="1"/>
      <w:numFmt w:val="lowerRoman"/>
      <w:lvlText w:val="%6."/>
      <w:lvlJc w:val="right"/>
      <w:pPr>
        <w:ind w:left="1680" w:hanging="420"/>
      </w:pPr>
    </w:lvl>
    <w:lvl w:ilvl="6" w:tentative="0">
      <w:start w:val="1"/>
      <w:numFmt w:val="decimal"/>
      <w:lvlText w:val="%7."/>
      <w:lvlJc w:val="left"/>
      <w:pPr>
        <w:ind w:left="2100" w:hanging="420"/>
      </w:pPr>
    </w:lvl>
    <w:lvl w:ilvl="7" w:tentative="0">
      <w:start w:val="1"/>
      <w:numFmt w:val="lowerLetter"/>
      <w:lvlText w:val="%8)"/>
      <w:lvlJc w:val="left"/>
      <w:pPr>
        <w:ind w:left="2520" w:hanging="420"/>
      </w:pPr>
    </w:lvl>
    <w:lvl w:ilvl="8" w:tentative="0">
      <w:start w:val="1"/>
      <w:numFmt w:val="lowerRoman"/>
      <w:lvlText w:val="%9."/>
      <w:lvlJc w:val="right"/>
      <w:pPr>
        <w:ind w:left="2940" w:hanging="420"/>
      </w:pPr>
    </w:lvl>
  </w:abstractNum>
  <w:abstractNum w:abstractNumId="8">
    <w:nsid w:val="389F5FAD"/>
    <w:multiLevelType w:val="multilevel"/>
    <w:tmpl w:val="389F5FAD"/>
    <w:lvl w:ilvl="0" w:tentative="0">
      <w:start w:val="1"/>
      <w:numFmt w:val="decimal"/>
      <w:lvlText w:val="%1."/>
      <w:lvlJc w:val="left"/>
      <w:pPr>
        <w:ind w:left="-420" w:hanging="420"/>
      </w:pPr>
    </w:lvl>
    <w:lvl w:ilvl="1" w:tentative="0">
      <w:start w:val="1"/>
      <w:numFmt w:val="lowerLetter"/>
      <w:lvlText w:val="%2)"/>
      <w:lvlJc w:val="left"/>
      <w:pPr>
        <w:ind w:left="0" w:hanging="420"/>
      </w:pPr>
    </w:lvl>
    <w:lvl w:ilvl="2" w:tentative="0">
      <w:start w:val="1"/>
      <w:numFmt w:val="lowerRoman"/>
      <w:lvlText w:val="%3."/>
      <w:lvlJc w:val="right"/>
      <w:pPr>
        <w:ind w:left="420" w:hanging="420"/>
      </w:pPr>
    </w:lvl>
    <w:lvl w:ilvl="3" w:tentative="0">
      <w:start w:val="1"/>
      <w:numFmt w:val="decimal"/>
      <w:lvlText w:val="%4."/>
      <w:lvlJc w:val="left"/>
      <w:pPr>
        <w:ind w:left="840" w:hanging="420"/>
      </w:pPr>
    </w:lvl>
    <w:lvl w:ilvl="4" w:tentative="0">
      <w:start w:val="1"/>
      <w:numFmt w:val="lowerLetter"/>
      <w:lvlText w:val="%5)"/>
      <w:lvlJc w:val="left"/>
      <w:pPr>
        <w:ind w:left="1260" w:hanging="420"/>
      </w:pPr>
    </w:lvl>
    <w:lvl w:ilvl="5" w:tentative="0">
      <w:start w:val="1"/>
      <w:numFmt w:val="lowerRoman"/>
      <w:lvlText w:val="%6."/>
      <w:lvlJc w:val="right"/>
      <w:pPr>
        <w:ind w:left="1680" w:hanging="420"/>
      </w:pPr>
    </w:lvl>
    <w:lvl w:ilvl="6" w:tentative="0">
      <w:start w:val="1"/>
      <w:numFmt w:val="decimal"/>
      <w:lvlText w:val="%7."/>
      <w:lvlJc w:val="left"/>
      <w:pPr>
        <w:ind w:left="2100" w:hanging="420"/>
      </w:pPr>
    </w:lvl>
    <w:lvl w:ilvl="7" w:tentative="0">
      <w:start w:val="1"/>
      <w:numFmt w:val="lowerLetter"/>
      <w:lvlText w:val="%8)"/>
      <w:lvlJc w:val="left"/>
      <w:pPr>
        <w:ind w:left="2520" w:hanging="420"/>
      </w:pPr>
    </w:lvl>
    <w:lvl w:ilvl="8" w:tentative="0">
      <w:start w:val="1"/>
      <w:numFmt w:val="lowerRoman"/>
      <w:lvlText w:val="%9."/>
      <w:lvlJc w:val="right"/>
      <w:pPr>
        <w:ind w:left="2940" w:hanging="420"/>
      </w:pPr>
    </w:lvl>
  </w:abstractNum>
  <w:abstractNum w:abstractNumId="9">
    <w:nsid w:val="3D856735"/>
    <w:multiLevelType w:val="multilevel"/>
    <w:tmpl w:val="3D856735"/>
    <w:lvl w:ilvl="0" w:tentative="0">
      <w:start w:val="1"/>
      <w:numFmt w:val="decimal"/>
      <w:lvlText w:val="%1."/>
      <w:lvlJc w:val="left"/>
      <w:pPr>
        <w:ind w:left="-420" w:hanging="420"/>
      </w:pPr>
    </w:lvl>
    <w:lvl w:ilvl="1" w:tentative="0">
      <w:start w:val="1"/>
      <w:numFmt w:val="lowerLetter"/>
      <w:lvlText w:val="%2)"/>
      <w:lvlJc w:val="left"/>
      <w:pPr>
        <w:ind w:left="0" w:hanging="420"/>
      </w:pPr>
    </w:lvl>
    <w:lvl w:ilvl="2" w:tentative="0">
      <w:start w:val="1"/>
      <w:numFmt w:val="lowerRoman"/>
      <w:lvlText w:val="%3."/>
      <w:lvlJc w:val="right"/>
      <w:pPr>
        <w:ind w:left="420" w:hanging="420"/>
      </w:pPr>
    </w:lvl>
    <w:lvl w:ilvl="3" w:tentative="0">
      <w:start w:val="1"/>
      <w:numFmt w:val="decimal"/>
      <w:lvlText w:val="%4."/>
      <w:lvlJc w:val="left"/>
      <w:pPr>
        <w:ind w:left="840" w:hanging="420"/>
      </w:pPr>
    </w:lvl>
    <w:lvl w:ilvl="4" w:tentative="0">
      <w:start w:val="1"/>
      <w:numFmt w:val="lowerLetter"/>
      <w:lvlText w:val="%5)"/>
      <w:lvlJc w:val="left"/>
      <w:pPr>
        <w:ind w:left="1260" w:hanging="420"/>
      </w:pPr>
    </w:lvl>
    <w:lvl w:ilvl="5" w:tentative="0">
      <w:start w:val="1"/>
      <w:numFmt w:val="lowerRoman"/>
      <w:lvlText w:val="%6."/>
      <w:lvlJc w:val="right"/>
      <w:pPr>
        <w:ind w:left="1680" w:hanging="420"/>
      </w:pPr>
    </w:lvl>
    <w:lvl w:ilvl="6" w:tentative="0">
      <w:start w:val="1"/>
      <w:numFmt w:val="decimal"/>
      <w:lvlText w:val="%7."/>
      <w:lvlJc w:val="left"/>
      <w:pPr>
        <w:ind w:left="2100" w:hanging="420"/>
      </w:pPr>
    </w:lvl>
    <w:lvl w:ilvl="7" w:tentative="0">
      <w:start w:val="1"/>
      <w:numFmt w:val="lowerLetter"/>
      <w:lvlText w:val="%8)"/>
      <w:lvlJc w:val="left"/>
      <w:pPr>
        <w:ind w:left="2520" w:hanging="420"/>
      </w:pPr>
    </w:lvl>
    <w:lvl w:ilvl="8" w:tentative="0">
      <w:start w:val="1"/>
      <w:numFmt w:val="lowerRoman"/>
      <w:lvlText w:val="%9."/>
      <w:lvlJc w:val="right"/>
      <w:pPr>
        <w:ind w:left="2940" w:hanging="420"/>
      </w:pPr>
    </w:lvl>
  </w:abstractNum>
  <w:abstractNum w:abstractNumId="10">
    <w:nsid w:val="3EBB3C91"/>
    <w:multiLevelType w:val="multilevel"/>
    <w:tmpl w:val="3EBB3C91"/>
    <w:lvl w:ilvl="0" w:tentative="0">
      <w:start w:val="1"/>
      <w:numFmt w:val="decimal"/>
      <w:pStyle w:val="58"/>
      <w:lvlText w:val="%1. "/>
      <w:lvlJc w:val="left"/>
      <w:pPr>
        <w:ind w:left="420" w:hanging="420"/>
      </w:pPr>
      <w:rPr>
        <w:rFonts w:hint="default" w:ascii="Times New Roman" w:hAnsi="Times New Roman" w:eastAsia="宋体"/>
        <w:b/>
        <w:i w:val="0"/>
      </w:rPr>
    </w:lvl>
    <w:lvl w:ilvl="1" w:tentative="0">
      <w:start w:val="1"/>
      <w:numFmt w:val="decimal"/>
      <w:pStyle w:val="51"/>
      <w:isLgl/>
      <w:suff w:val="space"/>
      <w:lvlText w:val="%1.%2 "/>
      <w:lvlJc w:val="left"/>
      <w:pPr>
        <w:ind w:left="3913" w:hanging="794"/>
      </w:pPr>
      <w:rPr>
        <w:rFonts w:hint="eastAsia"/>
      </w:rPr>
    </w:lvl>
    <w:lvl w:ilvl="2" w:tentative="0">
      <w:start w:val="1"/>
      <w:numFmt w:val="decimal"/>
      <w:pStyle w:val="57"/>
      <w:isLgl/>
      <w:suff w:val="space"/>
      <w:lvlText w:val="%1.%2.%3 "/>
      <w:lvlJc w:val="left"/>
      <w:pPr>
        <w:ind w:left="907" w:hanging="907"/>
      </w:pPr>
      <w:rPr>
        <w:rFonts w:hint="eastAsia"/>
      </w:rPr>
    </w:lvl>
    <w:lvl w:ilvl="3" w:tentative="0">
      <w:start w:val="1"/>
      <w:numFmt w:val="decimal"/>
      <w:pStyle w:val="56"/>
      <w:isLgl/>
      <w:suff w:val="space"/>
      <w:lvlText w:val="%1.%2.%3.%4 "/>
      <w:lvlJc w:val="left"/>
      <w:pPr>
        <w:ind w:left="1021" w:hanging="1021"/>
      </w:pPr>
      <w:rPr>
        <w:rFonts w:hint="eastAsia"/>
      </w:rPr>
    </w:lvl>
    <w:lvl w:ilvl="4" w:tentative="0">
      <w:start w:val="1"/>
      <w:numFmt w:val="decimal"/>
      <w:pStyle w:val="61"/>
      <w:isLgl/>
      <w:suff w:val="space"/>
      <w:lvlText w:val="%1.%2.%3.%4.%5 "/>
      <w:lvlJc w:val="left"/>
      <w:pPr>
        <w:ind w:left="1134" w:hanging="1134"/>
      </w:pPr>
      <w:rPr>
        <w:rFonts w:hint="eastAsia"/>
      </w:rPr>
    </w:lvl>
    <w:lvl w:ilvl="5" w:tentative="0">
      <w:start w:val="1"/>
      <w:numFmt w:val="decimal"/>
      <w:pStyle w:val="55"/>
      <w:isLgl/>
      <w:suff w:val="space"/>
      <w:lvlText w:val="%1.%2.%3.%4.%5.%6 "/>
      <w:lvlJc w:val="left"/>
      <w:pPr>
        <w:ind w:left="1247" w:hanging="1247"/>
      </w:pPr>
      <w:rPr>
        <w:rFonts w:hint="eastAsia"/>
      </w:rPr>
    </w:lvl>
    <w:lvl w:ilvl="6" w:tentative="0">
      <w:start w:val="1"/>
      <w:numFmt w:val="decimal"/>
      <w:lvlRestart w:val="1"/>
      <w:pStyle w:val="50"/>
      <w:isLgl/>
      <w:suff w:val="space"/>
      <w:lvlText w:val="图 %1.%7 "/>
      <w:lvlJc w:val="left"/>
      <w:pPr>
        <w:ind w:left="0" w:firstLine="0"/>
      </w:pPr>
      <w:rPr>
        <w:rFonts w:hint="eastAsia"/>
      </w:rPr>
    </w:lvl>
    <w:lvl w:ilvl="7" w:tentative="0">
      <w:start w:val="1"/>
      <w:numFmt w:val="decimal"/>
      <w:lvlRestart w:val="1"/>
      <w:pStyle w:val="60"/>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1">
    <w:nsid w:val="424A4138"/>
    <w:multiLevelType w:val="multilevel"/>
    <w:tmpl w:val="424A4138"/>
    <w:lvl w:ilvl="0" w:tentative="0">
      <w:start w:val="1"/>
      <w:numFmt w:val="chineseCountingThousand"/>
      <w:lvlText w:val="%1."/>
      <w:lvlJc w:val="left"/>
      <w:pPr>
        <w:ind w:left="432" w:hanging="432"/>
      </w:pPr>
      <w:rPr>
        <w:rFonts w:hint="eastAsia"/>
        <w:color w:val="auto"/>
        <w:sz w:val="32"/>
        <w:szCs w:val="32"/>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2">
    <w:nsid w:val="48D84072"/>
    <w:multiLevelType w:val="multilevel"/>
    <w:tmpl w:val="48D8407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A572796"/>
    <w:multiLevelType w:val="multilevel"/>
    <w:tmpl w:val="4A572796"/>
    <w:lvl w:ilvl="0" w:tentative="0">
      <w:start w:val="1"/>
      <w:numFmt w:val="decimal"/>
      <w:lvlText w:val="%1."/>
      <w:lvlJc w:val="left"/>
      <w:pPr>
        <w:ind w:left="-420" w:hanging="420"/>
      </w:pPr>
    </w:lvl>
    <w:lvl w:ilvl="1" w:tentative="0">
      <w:start w:val="1"/>
      <w:numFmt w:val="lowerLetter"/>
      <w:lvlText w:val="%2)"/>
      <w:lvlJc w:val="left"/>
      <w:pPr>
        <w:ind w:left="0" w:hanging="420"/>
      </w:pPr>
    </w:lvl>
    <w:lvl w:ilvl="2" w:tentative="0">
      <w:start w:val="1"/>
      <w:numFmt w:val="lowerRoman"/>
      <w:lvlText w:val="%3."/>
      <w:lvlJc w:val="right"/>
      <w:pPr>
        <w:ind w:left="420" w:hanging="420"/>
      </w:pPr>
    </w:lvl>
    <w:lvl w:ilvl="3" w:tentative="0">
      <w:start w:val="1"/>
      <w:numFmt w:val="decimal"/>
      <w:lvlText w:val="%4."/>
      <w:lvlJc w:val="left"/>
      <w:pPr>
        <w:ind w:left="840" w:hanging="420"/>
      </w:pPr>
    </w:lvl>
    <w:lvl w:ilvl="4" w:tentative="0">
      <w:start w:val="1"/>
      <w:numFmt w:val="lowerLetter"/>
      <w:lvlText w:val="%5)"/>
      <w:lvlJc w:val="left"/>
      <w:pPr>
        <w:ind w:left="1260" w:hanging="420"/>
      </w:pPr>
    </w:lvl>
    <w:lvl w:ilvl="5" w:tentative="0">
      <w:start w:val="1"/>
      <w:numFmt w:val="lowerRoman"/>
      <w:lvlText w:val="%6."/>
      <w:lvlJc w:val="right"/>
      <w:pPr>
        <w:ind w:left="1680" w:hanging="420"/>
      </w:pPr>
    </w:lvl>
    <w:lvl w:ilvl="6" w:tentative="0">
      <w:start w:val="1"/>
      <w:numFmt w:val="decimal"/>
      <w:lvlText w:val="%7."/>
      <w:lvlJc w:val="left"/>
      <w:pPr>
        <w:ind w:left="2100" w:hanging="420"/>
      </w:pPr>
    </w:lvl>
    <w:lvl w:ilvl="7" w:tentative="0">
      <w:start w:val="1"/>
      <w:numFmt w:val="lowerLetter"/>
      <w:lvlText w:val="%8)"/>
      <w:lvlJc w:val="left"/>
      <w:pPr>
        <w:ind w:left="2520" w:hanging="420"/>
      </w:pPr>
    </w:lvl>
    <w:lvl w:ilvl="8" w:tentative="0">
      <w:start w:val="1"/>
      <w:numFmt w:val="lowerRoman"/>
      <w:lvlText w:val="%9."/>
      <w:lvlJc w:val="right"/>
      <w:pPr>
        <w:ind w:left="2940" w:hanging="420"/>
      </w:pPr>
    </w:lvl>
  </w:abstractNum>
  <w:abstractNum w:abstractNumId="14">
    <w:nsid w:val="5D2C3098"/>
    <w:multiLevelType w:val="multilevel"/>
    <w:tmpl w:val="5D2C3098"/>
    <w:lvl w:ilvl="0" w:tentative="0">
      <w:start w:val="1"/>
      <w:numFmt w:val="decimal"/>
      <w:lvlText w:val="%1."/>
      <w:lvlJc w:val="left"/>
      <w:pPr>
        <w:ind w:left="-420" w:hanging="420"/>
      </w:pPr>
    </w:lvl>
    <w:lvl w:ilvl="1" w:tentative="0">
      <w:start w:val="1"/>
      <w:numFmt w:val="lowerLetter"/>
      <w:lvlText w:val="%2)"/>
      <w:lvlJc w:val="left"/>
      <w:pPr>
        <w:ind w:left="0" w:hanging="420"/>
      </w:pPr>
    </w:lvl>
    <w:lvl w:ilvl="2" w:tentative="0">
      <w:start w:val="1"/>
      <w:numFmt w:val="lowerRoman"/>
      <w:lvlText w:val="%3."/>
      <w:lvlJc w:val="right"/>
      <w:pPr>
        <w:ind w:left="420" w:hanging="420"/>
      </w:pPr>
    </w:lvl>
    <w:lvl w:ilvl="3" w:tentative="0">
      <w:start w:val="1"/>
      <w:numFmt w:val="decimal"/>
      <w:lvlText w:val="%4."/>
      <w:lvlJc w:val="left"/>
      <w:pPr>
        <w:ind w:left="840" w:hanging="420"/>
      </w:pPr>
    </w:lvl>
    <w:lvl w:ilvl="4" w:tentative="0">
      <w:start w:val="1"/>
      <w:numFmt w:val="lowerLetter"/>
      <w:lvlText w:val="%5)"/>
      <w:lvlJc w:val="left"/>
      <w:pPr>
        <w:ind w:left="1260" w:hanging="420"/>
      </w:pPr>
    </w:lvl>
    <w:lvl w:ilvl="5" w:tentative="0">
      <w:start w:val="1"/>
      <w:numFmt w:val="lowerRoman"/>
      <w:lvlText w:val="%6."/>
      <w:lvlJc w:val="right"/>
      <w:pPr>
        <w:ind w:left="1680" w:hanging="420"/>
      </w:pPr>
    </w:lvl>
    <w:lvl w:ilvl="6" w:tentative="0">
      <w:start w:val="1"/>
      <w:numFmt w:val="decimal"/>
      <w:lvlText w:val="%7."/>
      <w:lvlJc w:val="left"/>
      <w:pPr>
        <w:ind w:left="2100" w:hanging="420"/>
      </w:pPr>
    </w:lvl>
    <w:lvl w:ilvl="7" w:tentative="0">
      <w:start w:val="1"/>
      <w:numFmt w:val="lowerLetter"/>
      <w:lvlText w:val="%8)"/>
      <w:lvlJc w:val="left"/>
      <w:pPr>
        <w:ind w:left="2520" w:hanging="420"/>
      </w:pPr>
    </w:lvl>
    <w:lvl w:ilvl="8" w:tentative="0">
      <w:start w:val="1"/>
      <w:numFmt w:val="lowerRoman"/>
      <w:lvlText w:val="%9."/>
      <w:lvlJc w:val="right"/>
      <w:pPr>
        <w:ind w:left="2940" w:hanging="420"/>
      </w:pPr>
    </w:lvl>
  </w:abstractNum>
  <w:abstractNum w:abstractNumId="15">
    <w:nsid w:val="667F5689"/>
    <w:multiLevelType w:val="multilevel"/>
    <w:tmpl w:val="667F568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B335EA9"/>
    <w:multiLevelType w:val="multilevel"/>
    <w:tmpl w:val="6B335EA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10F12DD"/>
    <w:multiLevelType w:val="multilevel"/>
    <w:tmpl w:val="710F12D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CD556E5"/>
    <w:multiLevelType w:val="multilevel"/>
    <w:tmpl w:val="7CD556E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0"/>
  </w:num>
  <w:num w:numId="3">
    <w:abstractNumId w:val="11"/>
  </w:num>
  <w:num w:numId="4">
    <w:abstractNumId w:val="0"/>
  </w:num>
  <w:num w:numId="5">
    <w:abstractNumId w:val="4"/>
  </w:num>
  <w:num w:numId="6">
    <w:abstractNumId w:val="16"/>
  </w:num>
  <w:num w:numId="7">
    <w:abstractNumId w:val="12"/>
  </w:num>
  <w:num w:numId="8">
    <w:abstractNumId w:val="17"/>
  </w:num>
  <w:num w:numId="9">
    <w:abstractNumId w:val="18"/>
  </w:num>
  <w:num w:numId="10">
    <w:abstractNumId w:val="15"/>
  </w:num>
  <w:num w:numId="11">
    <w:abstractNumId w:val="3"/>
  </w:num>
  <w:num w:numId="12">
    <w:abstractNumId w:val="5"/>
  </w:num>
  <w:num w:numId="13">
    <w:abstractNumId w:val="1"/>
  </w:num>
  <w:num w:numId="14">
    <w:abstractNumId w:val="2"/>
  </w:num>
  <w:num w:numId="15">
    <w:abstractNumId w:val="9"/>
  </w:num>
  <w:num w:numId="16">
    <w:abstractNumId w:val="8"/>
  </w:num>
  <w:num w:numId="17">
    <w:abstractNumId w:val="14"/>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MzVmOGE3ZTMxMTFlNjU0NGE1OTQ0OTA2ZjlmZTQifQ=="/>
  </w:docVars>
  <w:rsids>
    <w:rsidRoot w:val="00303343"/>
    <w:rsid w:val="000051D2"/>
    <w:rsid w:val="000079DD"/>
    <w:rsid w:val="00012DCC"/>
    <w:rsid w:val="00016B63"/>
    <w:rsid w:val="000211F5"/>
    <w:rsid w:val="000227EB"/>
    <w:rsid w:val="000235D2"/>
    <w:rsid w:val="000304A9"/>
    <w:rsid w:val="0004334E"/>
    <w:rsid w:val="000445C3"/>
    <w:rsid w:val="00046B39"/>
    <w:rsid w:val="00054706"/>
    <w:rsid w:val="00057BB7"/>
    <w:rsid w:val="000612F5"/>
    <w:rsid w:val="0006241F"/>
    <w:rsid w:val="00066DE7"/>
    <w:rsid w:val="000710C6"/>
    <w:rsid w:val="00074EDD"/>
    <w:rsid w:val="000757C1"/>
    <w:rsid w:val="00086AE0"/>
    <w:rsid w:val="0009064D"/>
    <w:rsid w:val="00090A18"/>
    <w:rsid w:val="00092129"/>
    <w:rsid w:val="000974F5"/>
    <w:rsid w:val="000B41B7"/>
    <w:rsid w:val="000D5317"/>
    <w:rsid w:val="000E276C"/>
    <w:rsid w:val="000E3186"/>
    <w:rsid w:val="000F3238"/>
    <w:rsid w:val="000F5B40"/>
    <w:rsid w:val="00106D68"/>
    <w:rsid w:val="001106CE"/>
    <w:rsid w:val="001107F8"/>
    <w:rsid w:val="001116F6"/>
    <w:rsid w:val="001161EB"/>
    <w:rsid w:val="0011693E"/>
    <w:rsid w:val="00121E40"/>
    <w:rsid w:val="0012322D"/>
    <w:rsid w:val="00123CDF"/>
    <w:rsid w:val="00123FCC"/>
    <w:rsid w:val="00132D88"/>
    <w:rsid w:val="00135BF9"/>
    <w:rsid w:val="001365DD"/>
    <w:rsid w:val="00136606"/>
    <w:rsid w:val="00137689"/>
    <w:rsid w:val="00140E0C"/>
    <w:rsid w:val="0014437A"/>
    <w:rsid w:val="00150F28"/>
    <w:rsid w:val="00153AB3"/>
    <w:rsid w:val="001562EE"/>
    <w:rsid w:val="00156566"/>
    <w:rsid w:val="00162D29"/>
    <w:rsid w:val="00164878"/>
    <w:rsid w:val="00164C38"/>
    <w:rsid w:val="00165091"/>
    <w:rsid w:val="00171903"/>
    <w:rsid w:val="0018200C"/>
    <w:rsid w:val="001833B6"/>
    <w:rsid w:val="00190CD2"/>
    <w:rsid w:val="00192191"/>
    <w:rsid w:val="00194BFE"/>
    <w:rsid w:val="001A22A1"/>
    <w:rsid w:val="001B187A"/>
    <w:rsid w:val="001B4850"/>
    <w:rsid w:val="001B7966"/>
    <w:rsid w:val="001B7D79"/>
    <w:rsid w:val="001C131E"/>
    <w:rsid w:val="001C23B3"/>
    <w:rsid w:val="001C7BC6"/>
    <w:rsid w:val="001D464F"/>
    <w:rsid w:val="001D4A68"/>
    <w:rsid w:val="001D7749"/>
    <w:rsid w:val="001E3B38"/>
    <w:rsid w:val="00200054"/>
    <w:rsid w:val="002000DE"/>
    <w:rsid w:val="00202EFF"/>
    <w:rsid w:val="0020509F"/>
    <w:rsid w:val="00207A96"/>
    <w:rsid w:val="00214A6F"/>
    <w:rsid w:val="00217C85"/>
    <w:rsid w:val="00220D0D"/>
    <w:rsid w:val="00220E4C"/>
    <w:rsid w:val="00221F1F"/>
    <w:rsid w:val="00223E47"/>
    <w:rsid w:val="00237485"/>
    <w:rsid w:val="00241D77"/>
    <w:rsid w:val="00242D49"/>
    <w:rsid w:val="002509F5"/>
    <w:rsid w:val="002535AA"/>
    <w:rsid w:val="0026089E"/>
    <w:rsid w:val="00261CBC"/>
    <w:rsid w:val="00265DE7"/>
    <w:rsid w:val="00270260"/>
    <w:rsid w:val="002710A4"/>
    <w:rsid w:val="002722CA"/>
    <w:rsid w:val="002834D3"/>
    <w:rsid w:val="002853BF"/>
    <w:rsid w:val="00285767"/>
    <w:rsid w:val="00292528"/>
    <w:rsid w:val="00297607"/>
    <w:rsid w:val="00297A77"/>
    <w:rsid w:val="002A01D6"/>
    <w:rsid w:val="002A4778"/>
    <w:rsid w:val="002C060F"/>
    <w:rsid w:val="002C1296"/>
    <w:rsid w:val="002C53D1"/>
    <w:rsid w:val="002D6BE1"/>
    <w:rsid w:val="002E00BE"/>
    <w:rsid w:val="002E54E5"/>
    <w:rsid w:val="002F31F1"/>
    <w:rsid w:val="002F3392"/>
    <w:rsid w:val="002F7124"/>
    <w:rsid w:val="003024F8"/>
    <w:rsid w:val="00303343"/>
    <w:rsid w:val="00303CAB"/>
    <w:rsid w:val="0030419A"/>
    <w:rsid w:val="003042A2"/>
    <w:rsid w:val="00304636"/>
    <w:rsid w:val="00311322"/>
    <w:rsid w:val="00314487"/>
    <w:rsid w:val="00314A5A"/>
    <w:rsid w:val="00322973"/>
    <w:rsid w:val="003325F0"/>
    <w:rsid w:val="00341038"/>
    <w:rsid w:val="003520F1"/>
    <w:rsid w:val="00352E7C"/>
    <w:rsid w:val="00353276"/>
    <w:rsid w:val="00360458"/>
    <w:rsid w:val="00366980"/>
    <w:rsid w:val="00370A5D"/>
    <w:rsid w:val="003802E2"/>
    <w:rsid w:val="00385E95"/>
    <w:rsid w:val="00385FED"/>
    <w:rsid w:val="00397B7E"/>
    <w:rsid w:val="003A48A3"/>
    <w:rsid w:val="003A7269"/>
    <w:rsid w:val="003B015C"/>
    <w:rsid w:val="003B285A"/>
    <w:rsid w:val="003C0FB7"/>
    <w:rsid w:val="003C6D81"/>
    <w:rsid w:val="003D0F80"/>
    <w:rsid w:val="003D2595"/>
    <w:rsid w:val="003D6BFD"/>
    <w:rsid w:val="003E7083"/>
    <w:rsid w:val="003E7257"/>
    <w:rsid w:val="003F629F"/>
    <w:rsid w:val="00403717"/>
    <w:rsid w:val="00403938"/>
    <w:rsid w:val="00405AA9"/>
    <w:rsid w:val="0040692C"/>
    <w:rsid w:val="00413DA3"/>
    <w:rsid w:val="00414171"/>
    <w:rsid w:val="00416348"/>
    <w:rsid w:val="0041787F"/>
    <w:rsid w:val="00423450"/>
    <w:rsid w:val="0042702D"/>
    <w:rsid w:val="00435C81"/>
    <w:rsid w:val="0044060A"/>
    <w:rsid w:val="00440F72"/>
    <w:rsid w:val="00451F6F"/>
    <w:rsid w:val="004565AA"/>
    <w:rsid w:val="00456A2C"/>
    <w:rsid w:val="004630DC"/>
    <w:rsid w:val="00474AE0"/>
    <w:rsid w:val="0047796F"/>
    <w:rsid w:val="00482931"/>
    <w:rsid w:val="00487F95"/>
    <w:rsid w:val="00495574"/>
    <w:rsid w:val="004A44FF"/>
    <w:rsid w:val="004C2C5B"/>
    <w:rsid w:val="004E2D8F"/>
    <w:rsid w:val="004E5E61"/>
    <w:rsid w:val="004E78FE"/>
    <w:rsid w:val="004F1410"/>
    <w:rsid w:val="00500264"/>
    <w:rsid w:val="00501A4A"/>
    <w:rsid w:val="00510B1E"/>
    <w:rsid w:val="00511A06"/>
    <w:rsid w:val="005120A9"/>
    <w:rsid w:val="00517D7C"/>
    <w:rsid w:val="00520646"/>
    <w:rsid w:val="00520EAD"/>
    <w:rsid w:val="0052176F"/>
    <w:rsid w:val="0052604B"/>
    <w:rsid w:val="00526270"/>
    <w:rsid w:val="00527CE7"/>
    <w:rsid w:val="0053088D"/>
    <w:rsid w:val="00534BF6"/>
    <w:rsid w:val="00537CDE"/>
    <w:rsid w:val="005409FC"/>
    <w:rsid w:val="005563D3"/>
    <w:rsid w:val="00575F76"/>
    <w:rsid w:val="005766CE"/>
    <w:rsid w:val="00580F0E"/>
    <w:rsid w:val="00590D0D"/>
    <w:rsid w:val="00591388"/>
    <w:rsid w:val="0059358B"/>
    <w:rsid w:val="005944F9"/>
    <w:rsid w:val="00596428"/>
    <w:rsid w:val="00596CC5"/>
    <w:rsid w:val="005A4D1C"/>
    <w:rsid w:val="005B046D"/>
    <w:rsid w:val="005B0F86"/>
    <w:rsid w:val="005B33AE"/>
    <w:rsid w:val="005C49D7"/>
    <w:rsid w:val="005C60FB"/>
    <w:rsid w:val="005C7EF5"/>
    <w:rsid w:val="005D1C7F"/>
    <w:rsid w:val="005D2402"/>
    <w:rsid w:val="005D2BF6"/>
    <w:rsid w:val="005D3BC1"/>
    <w:rsid w:val="005E17A1"/>
    <w:rsid w:val="005E62DE"/>
    <w:rsid w:val="005E7C53"/>
    <w:rsid w:val="005F0356"/>
    <w:rsid w:val="005F4CE6"/>
    <w:rsid w:val="005F73BC"/>
    <w:rsid w:val="00600923"/>
    <w:rsid w:val="006053FC"/>
    <w:rsid w:val="006067C8"/>
    <w:rsid w:val="00612F3F"/>
    <w:rsid w:val="00620E68"/>
    <w:rsid w:val="00623637"/>
    <w:rsid w:val="006279C6"/>
    <w:rsid w:val="00632BB9"/>
    <w:rsid w:val="00635E23"/>
    <w:rsid w:val="00637115"/>
    <w:rsid w:val="00644F1D"/>
    <w:rsid w:val="00646B59"/>
    <w:rsid w:val="006604C2"/>
    <w:rsid w:val="006861F5"/>
    <w:rsid w:val="006971C7"/>
    <w:rsid w:val="00697FBB"/>
    <w:rsid w:val="006A6D5D"/>
    <w:rsid w:val="006B2085"/>
    <w:rsid w:val="006B21B8"/>
    <w:rsid w:val="006B7B58"/>
    <w:rsid w:val="006C36EB"/>
    <w:rsid w:val="006D4B15"/>
    <w:rsid w:val="006D59F7"/>
    <w:rsid w:val="006E5E07"/>
    <w:rsid w:val="006F0434"/>
    <w:rsid w:val="00701D12"/>
    <w:rsid w:val="0070239F"/>
    <w:rsid w:val="00720168"/>
    <w:rsid w:val="0072309C"/>
    <w:rsid w:val="00725477"/>
    <w:rsid w:val="0072695B"/>
    <w:rsid w:val="0074224C"/>
    <w:rsid w:val="00750A70"/>
    <w:rsid w:val="00752912"/>
    <w:rsid w:val="007556BE"/>
    <w:rsid w:val="007621CC"/>
    <w:rsid w:val="0076668A"/>
    <w:rsid w:val="00784C08"/>
    <w:rsid w:val="00785EDF"/>
    <w:rsid w:val="00786A29"/>
    <w:rsid w:val="0079349A"/>
    <w:rsid w:val="00795F59"/>
    <w:rsid w:val="007A5027"/>
    <w:rsid w:val="007C0A5B"/>
    <w:rsid w:val="007D0457"/>
    <w:rsid w:val="007D22AB"/>
    <w:rsid w:val="007E5E70"/>
    <w:rsid w:val="007E71E6"/>
    <w:rsid w:val="007F3BF4"/>
    <w:rsid w:val="007F5726"/>
    <w:rsid w:val="007F70B1"/>
    <w:rsid w:val="008168FB"/>
    <w:rsid w:val="00822BA6"/>
    <w:rsid w:val="0083304A"/>
    <w:rsid w:val="00834C2D"/>
    <w:rsid w:val="00834E21"/>
    <w:rsid w:val="00836227"/>
    <w:rsid w:val="008419E9"/>
    <w:rsid w:val="00842FE2"/>
    <w:rsid w:val="008470E8"/>
    <w:rsid w:val="008548FB"/>
    <w:rsid w:val="008623FD"/>
    <w:rsid w:val="00866774"/>
    <w:rsid w:val="00873B97"/>
    <w:rsid w:val="008A62AC"/>
    <w:rsid w:val="008B2206"/>
    <w:rsid w:val="008B592F"/>
    <w:rsid w:val="008C0302"/>
    <w:rsid w:val="008C255D"/>
    <w:rsid w:val="008D0843"/>
    <w:rsid w:val="008D3291"/>
    <w:rsid w:val="008D59AA"/>
    <w:rsid w:val="008D5D1C"/>
    <w:rsid w:val="008E145D"/>
    <w:rsid w:val="008E155E"/>
    <w:rsid w:val="008E2B56"/>
    <w:rsid w:val="008E69C8"/>
    <w:rsid w:val="008F543C"/>
    <w:rsid w:val="00900232"/>
    <w:rsid w:val="00900BAA"/>
    <w:rsid w:val="00903123"/>
    <w:rsid w:val="00903734"/>
    <w:rsid w:val="00903878"/>
    <w:rsid w:val="00903CF6"/>
    <w:rsid w:val="009052C7"/>
    <w:rsid w:val="00905FFA"/>
    <w:rsid w:val="0092017A"/>
    <w:rsid w:val="00922032"/>
    <w:rsid w:val="00925C23"/>
    <w:rsid w:val="00927E08"/>
    <w:rsid w:val="009303FA"/>
    <w:rsid w:val="00930DF8"/>
    <w:rsid w:val="00941F0C"/>
    <w:rsid w:val="00943004"/>
    <w:rsid w:val="00953807"/>
    <w:rsid w:val="00954705"/>
    <w:rsid w:val="00966A88"/>
    <w:rsid w:val="0097327B"/>
    <w:rsid w:val="00973A47"/>
    <w:rsid w:val="00974ECB"/>
    <w:rsid w:val="00981ED8"/>
    <w:rsid w:val="009822C7"/>
    <w:rsid w:val="00982AA3"/>
    <w:rsid w:val="009863EF"/>
    <w:rsid w:val="00986A41"/>
    <w:rsid w:val="0098719A"/>
    <w:rsid w:val="00991FF2"/>
    <w:rsid w:val="0099315B"/>
    <w:rsid w:val="00995DD9"/>
    <w:rsid w:val="009C1F02"/>
    <w:rsid w:val="009C3783"/>
    <w:rsid w:val="009C4E7E"/>
    <w:rsid w:val="009D51B9"/>
    <w:rsid w:val="009D6951"/>
    <w:rsid w:val="009D7DD1"/>
    <w:rsid w:val="009E0351"/>
    <w:rsid w:val="009E214B"/>
    <w:rsid w:val="009E2C86"/>
    <w:rsid w:val="009E38D1"/>
    <w:rsid w:val="009E53AF"/>
    <w:rsid w:val="009F0270"/>
    <w:rsid w:val="009F61FA"/>
    <w:rsid w:val="009F74F3"/>
    <w:rsid w:val="009F78EA"/>
    <w:rsid w:val="00A05796"/>
    <w:rsid w:val="00A13CB0"/>
    <w:rsid w:val="00A14FD8"/>
    <w:rsid w:val="00A22CA1"/>
    <w:rsid w:val="00A257E8"/>
    <w:rsid w:val="00A34CDF"/>
    <w:rsid w:val="00A36F05"/>
    <w:rsid w:val="00A401BE"/>
    <w:rsid w:val="00A4595D"/>
    <w:rsid w:val="00A45DFD"/>
    <w:rsid w:val="00A5107D"/>
    <w:rsid w:val="00A51146"/>
    <w:rsid w:val="00A60980"/>
    <w:rsid w:val="00A61D3A"/>
    <w:rsid w:val="00A6248C"/>
    <w:rsid w:val="00A66833"/>
    <w:rsid w:val="00A70DCF"/>
    <w:rsid w:val="00A72437"/>
    <w:rsid w:val="00A73FDF"/>
    <w:rsid w:val="00A824B9"/>
    <w:rsid w:val="00A870DD"/>
    <w:rsid w:val="00A96157"/>
    <w:rsid w:val="00A969AF"/>
    <w:rsid w:val="00A9703C"/>
    <w:rsid w:val="00A9729E"/>
    <w:rsid w:val="00AA1F69"/>
    <w:rsid w:val="00AB348F"/>
    <w:rsid w:val="00AB41CE"/>
    <w:rsid w:val="00AB7D36"/>
    <w:rsid w:val="00AC1390"/>
    <w:rsid w:val="00AC4663"/>
    <w:rsid w:val="00AD557E"/>
    <w:rsid w:val="00AE1DD2"/>
    <w:rsid w:val="00AE4106"/>
    <w:rsid w:val="00B12138"/>
    <w:rsid w:val="00B17749"/>
    <w:rsid w:val="00B17AE9"/>
    <w:rsid w:val="00B17C05"/>
    <w:rsid w:val="00B20334"/>
    <w:rsid w:val="00B20819"/>
    <w:rsid w:val="00B225B9"/>
    <w:rsid w:val="00B23235"/>
    <w:rsid w:val="00B2438D"/>
    <w:rsid w:val="00B24AB1"/>
    <w:rsid w:val="00B353BE"/>
    <w:rsid w:val="00B36BD9"/>
    <w:rsid w:val="00B41A4C"/>
    <w:rsid w:val="00B43095"/>
    <w:rsid w:val="00B446CA"/>
    <w:rsid w:val="00B5093C"/>
    <w:rsid w:val="00B54356"/>
    <w:rsid w:val="00B55FE5"/>
    <w:rsid w:val="00B5648F"/>
    <w:rsid w:val="00B56C10"/>
    <w:rsid w:val="00B62917"/>
    <w:rsid w:val="00B74609"/>
    <w:rsid w:val="00B752B2"/>
    <w:rsid w:val="00B80E39"/>
    <w:rsid w:val="00B824A5"/>
    <w:rsid w:val="00B83BEC"/>
    <w:rsid w:val="00B8588F"/>
    <w:rsid w:val="00B858F1"/>
    <w:rsid w:val="00B8684C"/>
    <w:rsid w:val="00B92C36"/>
    <w:rsid w:val="00BA3B1E"/>
    <w:rsid w:val="00BA5A2D"/>
    <w:rsid w:val="00BA5B8F"/>
    <w:rsid w:val="00BB2B54"/>
    <w:rsid w:val="00BB7553"/>
    <w:rsid w:val="00BC3CA1"/>
    <w:rsid w:val="00BC49E5"/>
    <w:rsid w:val="00BC6DB1"/>
    <w:rsid w:val="00BD17A4"/>
    <w:rsid w:val="00BD3194"/>
    <w:rsid w:val="00BD5FA8"/>
    <w:rsid w:val="00BE23E5"/>
    <w:rsid w:val="00BE31E6"/>
    <w:rsid w:val="00BF2FBC"/>
    <w:rsid w:val="00BF757E"/>
    <w:rsid w:val="00BF7C0E"/>
    <w:rsid w:val="00BF7F5A"/>
    <w:rsid w:val="00C07F8F"/>
    <w:rsid w:val="00C17719"/>
    <w:rsid w:val="00C20730"/>
    <w:rsid w:val="00C2470A"/>
    <w:rsid w:val="00C335D8"/>
    <w:rsid w:val="00C47DAF"/>
    <w:rsid w:val="00C50E12"/>
    <w:rsid w:val="00C54491"/>
    <w:rsid w:val="00C620FB"/>
    <w:rsid w:val="00C70339"/>
    <w:rsid w:val="00C71B43"/>
    <w:rsid w:val="00C734B4"/>
    <w:rsid w:val="00C74D8F"/>
    <w:rsid w:val="00C751A9"/>
    <w:rsid w:val="00C766DD"/>
    <w:rsid w:val="00C7687E"/>
    <w:rsid w:val="00C76BDF"/>
    <w:rsid w:val="00C775CE"/>
    <w:rsid w:val="00C8030E"/>
    <w:rsid w:val="00C91697"/>
    <w:rsid w:val="00C92EAA"/>
    <w:rsid w:val="00CA148F"/>
    <w:rsid w:val="00CA29F9"/>
    <w:rsid w:val="00CB507B"/>
    <w:rsid w:val="00CB6B73"/>
    <w:rsid w:val="00CC0C68"/>
    <w:rsid w:val="00CC218D"/>
    <w:rsid w:val="00CC6334"/>
    <w:rsid w:val="00CC677A"/>
    <w:rsid w:val="00CD008E"/>
    <w:rsid w:val="00CD6EDC"/>
    <w:rsid w:val="00CE133C"/>
    <w:rsid w:val="00CE2D1F"/>
    <w:rsid w:val="00CE5B40"/>
    <w:rsid w:val="00CF1561"/>
    <w:rsid w:val="00CF1A40"/>
    <w:rsid w:val="00CF36EF"/>
    <w:rsid w:val="00CF4AE2"/>
    <w:rsid w:val="00D1110F"/>
    <w:rsid w:val="00D135B9"/>
    <w:rsid w:val="00D15B10"/>
    <w:rsid w:val="00D17143"/>
    <w:rsid w:val="00D23E20"/>
    <w:rsid w:val="00D24528"/>
    <w:rsid w:val="00D3021D"/>
    <w:rsid w:val="00D30FA6"/>
    <w:rsid w:val="00D32842"/>
    <w:rsid w:val="00D37BF6"/>
    <w:rsid w:val="00D407EB"/>
    <w:rsid w:val="00D421A9"/>
    <w:rsid w:val="00D454AB"/>
    <w:rsid w:val="00D465F9"/>
    <w:rsid w:val="00D536AB"/>
    <w:rsid w:val="00D54E0C"/>
    <w:rsid w:val="00D5537A"/>
    <w:rsid w:val="00D628DF"/>
    <w:rsid w:val="00D64109"/>
    <w:rsid w:val="00D70B8D"/>
    <w:rsid w:val="00D71136"/>
    <w:rsid w:val="00D7755A"/>
    <w:rsid w:val="00D77F36"/>
    <w:rsid w:val="00D802FD"/>
    <w:rsid w:val="00D80B60"/>
    <w:rsid w:val="00D86BC2"/>
    <w:rsid w:val="00D9057D"/>
    <w:rsid w:val="00DA026E"/>
    <w:rsid w:val="00DA576E"/>
    <w:rsid w:val="00DB0A86"/>
    <w:rsid w:val="00DB57B7"/>
    <w:rsid w:val="00DC33CF"/>
    <w:rsid w:val="00DC3415"/>
    <w:rsid w:val="00DD3DE6"/>
    <w:rsid w:val="00DE4534"/>
    <w:rsid w:val="00DE49AC"/>
    <w:rsid w:val="00DF333A"/>
    <w:rsid w:val="00DF3D3A"/>
    <w:rsid w:val="00DF4228"/>
    <w:rsid w:val="00E01B96"/>
    <w:rsid w:val="00E06670"/>
    <w:rsid w:val="00E178EE"/>
    <w:rsid w:val="00E253F2"/>
    <w:rsid w:val="00E47752"/>
    <w:rsid w:val="00E53030"/>
    <w:rsid w:val="00E56652"/>
    <w:rsid w:val="00E6020F"/>
    <w:rsid w:val="00E621B8"/>
    <w:rsid w:val="00E62C9E"/>
    <w:rsid w:val="00E63369"/>
    <w:rsid w:val="00E63569"/>
    <w:rsid w:val="00E7029C"/>
    <w:rsid w:val="00E73DB9"/>
    <w:rsid w:val="00E80756"/>
    <w:rsid w:val="00E81F96"/>
    <w:rsid w:val="00E8302B"/>
    <w:rsid w:val="00E83E34"/>
    <w:rsid w:val="00E847A3"/>
    <w:rsid w:val="00E84F8C"/>
    <w:rsid w:val="00E85360"/>
    <w:rsid w:val="00E85641"/>
    <w:rsid w:val="00E85DA4"/>
    <w:rsid w:val="00E86B42"/>
    <w:rsid w:val="00E95892"/>
    <w:rsid w:val="00E97354"/>
    <w:rsid w:val="00EA5C44"/>
    <w:rsid w:val="00EA6408"/>
    <w:rsid w:val="00EA7477"/>
    <w:rsid w:val="00EB505A"/>
    <w:rsid w:val="00EC0483"/>
    <w:rsid w:val="00EC33A4"/>
    <w:rsid w:val="00EC3B3E"/>
    <w:rsid w:val="00ED0897"/>
    <w:rsid w:val="00ED14D0"/>
    <w:rsid w:val="00ED73FF"/>
    <w:rsid w:val="00ED7F01"/>
    <w:rsid w:val="00EE2FB8"/>
    <w:rsid w:val="00EE4612"/>
    <w:rsid w:val="00EE51DE"/>
    <w:rsid w:val="00EE609F"/>
    <w:rsid w:val="00EF5E01"/>
    <w:rsid w:val="00EF6223"/>
    <w:rsid w:val="00EF6EC0"/>
    <w:rsid w:val="00F02058"/>
    <w:rsid w:val="00F0343C"/>
    <w:rsid w:val="00F04CE5"/>
    <w:rsid w:val="00F13514"/>
    <w:rsid w:val="00F1360F"/>
    <w:rsid w:val="00F16AA8"/>
    <w:rsid w:val="00F21791"/>
    <w:rsid w:val="00F27FD8"/>
    <w:rsid w:val="00F3226A"/>
    <w:rsid w:val="00F33DB0"/>
    <w:rsid w:val="00F36222"/>
    <w:rsid w:val="00F41A41"/>
    <w:rsid w:val="00F45DB8"/>
    <w:rsid w:val="00F54D29"/>
    <w:rsid w:val="00F57DFB"/>
    <w:rsid w:val="00F62BCD"/>
    <w:rsid w:val="00F74B77"/>
    <w:rsid w:val="00F764FE"/>
    <w:rsid w:val="00F80625"/>
    <w:rsid w:val="00F8121D"/>
    <w:rsid w:val="00F827B6"/>
    <w:rsid w:val="00F86265"/>
    <w:rsid w:val="00F92BE5"/>
    <w:rsid w:val="00FA0574"/>
    <w:rsid w:val="00FB68D3"/>
    <w:rsid w:val="00FC4B75"/>
    <w:rsid w:val="00FD1063"/>
    <w:rsid w:val="00FD2B3B"/>
    <w:rsid w:val="00FE002F"/>
    <w:rsid w:val="00FE7554"/>
    <w:rsid w:val="00FF17FE"/>
    <w:rsid w:val="00FF2687"/>
    <w:rsid w:val="00FF585E"/>
    <w:rsid w:val="05555ACE"/>
    <w:rsid w:val="12A45495"/>
    <w:rsid w:val="1469269F"/>
    <w:rsid w:val="153B44F3"/>
    <w:rsid w:val="1D580012"/>
    <w:rsid w:val="21383137"/>
    <w:rsid w:val="2F5E5F1A"/>
    <w:rsid w:val="31DA69E5"/>
    <w:rsid w:val="34C97A2C"/>
    <w:rsid w:val="36E16BC6"/>
    <w:rsid w:val="37D14BAC"/>
    <w:rsid w:val="37ED3C8A"/>
    <w:rsid w:val="3BB51678"/>
    <w:rsid w:val="42200080"/>
    <w:rsid w:val="48272AF9"/>
    <w:rsid w:val="488C513A"/>
    <w:rsid w:val="51084EE8"/>
    <w:rsid w:val="546F6583"/>
    <w:rsid w:val="55505D69"/>
    <w:rsid w:val="5D0E6F09"/>
    <w:rsid w:val="60B24E81"/>
    <w:rsid w:val="60EA0710"/>
    <w:rsid w:val="6DCD07BE"/>
    <w:rsid w:val="77A172FF"/>
    <w:rsid w:val="7A3060B8"/>
    <w:rsid w:val="7B4707E1"/>
    <w:rsid w:val="7D891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0"/>
    <w:pPr>
      <w:keepNext/>
      <w:keepLines/>
      <w:numPr>
        <w:ilvl w:val="0"/>
        <w:numId w:val="1"/>
      </w:numPr>
      <w:spacing w:before="340" w:after="330" w:line="578" w:lineRule="auto"/>
      <w:outlineLvl w:val="0"/>
    </w:pPr>
    <w:rPr>
      <w:b/>
      <w:bCs/>
      <w:kern w:val="44"/>
      <w:sz w:val="44"/>
      <w:szCs w:val="44"/>
      <w:lang w:val="zh-CN"/>
    </w:rPr>
  </w:style>
  <w:style w:type="paragraph" w:styleId="4">
    <w:name w:val="heading 2"/>
    <w:basedOn w:val="1"/>
    <w:next w:val="1"/>
    <w:link w:val="26"/>
    <w:qFormat/>
    <w:uiPriority w:val="9"/>
    <w:pPr>
      <w:keepNext/>
      <w:keepLines/>
      <w:spacing w:before="260" w:after="260" w:line="416" w:lineRule="auto"/>
      <w:outlineLvl w:val="1"/>
    </w:pPr>
    <w:rPr>
      <w:rFonts w:ascii="等线 Light" w:hAnsi="等线 Light" w:eastAsia="等线 Light"/>
      <w:b/>
      <w:bCs/>
      <w:sz w:val="32"/>
      <w:szCs w:val="32"/>
      <w:lang w:val="zh-CN"/>
    </w:rPr>
  </w:style>
  <w:style w:type="paragraph" w:styleId="5">
    <w:name w:val="heading 3"/>
    <w:basedOn w:val="1"/>
    <w:next w:val="1"/>
    <w:link w:val="27"/>
    <w:qFormat/>
    <w:uiPriority w:val="0"/>
    <w:pPr>
      <w:keepNext/>
      <w:keepLines/>
      <w:spacing w:before="260" w:after="260" w:line="416" w:lineRule="auto"/>
      <w:outlineLvl w:val="2"/>
    </w:pPr>
    <w:rPr>
      <w:b/>
      <w:bCs/>
      <w:sz w:val="30"/>
      <w:szCs w:val="30"/>
      <w:lang w:val="zh-CN"/>
    </w:rPr>
  </w:style>
  <w:style w:type="paragraph" w:styleId="6">
    <w:name w:val="heading 4"/>
    <w:basedOn w:val="1"/>
    <w:next w:val="1"/>
    <w:link w:val="28"/>
    <w:qFormat/>
    <w:uiPriority w:val="0"/>
    <w:pPr>
      <w:keepNext/>
      <w:keepLines/>
      <w:numPr>
        <w:ilvl w:val="3"/>
        <w:numId w:val="1"/>
      </w:numPr>
      <w:spacing w:before="280" w:after="290" w:line="376" w:lineRule="auto"/>
      <w:outlineLvl w:val="3"/>
    </w:pPr>
    <w:rPr>
      <w:rFonts w:ascii="宋体" w:hAnsi="宋体"/>
      <w:b/>
      <w:bCs/>
      <w:sz w:val="28"/>
      <w:szCs w:val="28"/>
      <w:lang w:val="zh-CN"/>
    </w:rPr>
  </w:style>
  <w:style w:type="paragraph" w:styleId="7">
    <w:name w:val="heading 5"/>
    <w:basedOn w:val="1"/>
    <w:next w:val="1"/>
    <w:link w:val="29"/>
    <w:qFormat/>
    <w:uiPriority w:val="0"/>
    <w:pPr>
      <w:keepNext/>
      <w:keepLines/>
      <w:numPr>
        <w:ilvl w:val="4"/>
        <w:numId w:val="1"/>
      </w:numPr>
      <w:spacing w:before="280" w:after="290" w:line="376" w:lineRule="auto"/>
      <w:outlineLvl w:val="4"/>
    </w:pPr>
    <w:rPr>
      <w:b/>
      <w:bCs/>
      <w:sz w:val="28"/>
      <w:szCs w:val="28"/>
      <w:lang w:val="zh-CN"/>
    </w:rPr>
  </w:style>
  <w:style w:type="paragraph" w:styleId="8">
    <w:name w:val="heading 6"/>
    <w:basedOn w:val="1"/>
    <w:next w:val="1"/>
    <w:link w:val="30"/>
    <w:qFormat/>
    <w:uiPriority w:val="0"/>
    <w:pPr>
      <w:keepNext/>
      <w:keepLines/>
      <w:numPr>
        <w:ilvl w:val="5"/>
        <w:numId w:val="1"/>
      </w:numPr>
      <w:spacing w:before="240" w:after="64" w:line="320" w:lineRule="auto"/>
      <w:outlineLvl w:val="5"/>
    </w:pPr>
    <w:rPr>
      <w:rFonts w:ascii="等线 Light" w:hAnsi="等线 Light" w:eastAsia="等线 Light"/>
      <w:b/>
      <w:bCs/>
      <w:sz w:val="24"/>
      <w:lang w:val="zh-CN"/>
    </w:rPr>
  </w:style>
  <w:style w:type="paragraph" w:styleId="9">
    <w:name w:val="heading 7"/>
    <w:basedOn w:val="1"/>
    <w:next w:val="1"/>
    <w:link w:val="31"/>
    <w:qFormat/>
    <w:uiPriority w:val="0"/>
    <w:pPr>
      <w:keepNext/>
      <w:keepLines/>
      <w:numPr>
        <w:ilvl w:val="6"/>
        <w:numId w:val="1"/>
      </w:numPr>
      <w:spacing w:before="240" w:after="64" w:line="320" w:lineRule="auto"/>
      <w:outlineLvl w:val="6"/>
    </w:pPr>
    <w:rPr>
      <w:b/>
      <w:bCs/>
      <w:sz w:val="24"/>
      <w:lang w:val="zh-CN"/>
    </w:rPr>
  </w:style>
  <w:style w:type="paragraph" w:styleId="10">
    <w:name w:val="heading 8"/>
    <w:basedOn w:val="1"/>
    <w:next w:val="1"/>
    <w:link w:val="32"/>
    <w:qFormat/>
    <w:uiPriority w:val="0"/>
    <w:pPr>
      <w:keepNext/>
      <w:keepLines/>
      <w:numPr>
        <w:ilvl w:val="7"/>
        <w:numId w:val="1"/>
      </w:numPr>
      <w:spacing w:before="240" w:after="64" w:line="320" w:lineRule="auto"/>
      <w:outlineLvl w:val="7"/>
    </w:pPr>
    <w:rPr>
      <w:rFonts w:ascii="等线 Light" w:hAnsi="等线 Light" w:eastAsia="等线 Light"/>
      <w:sz w:val="24"/>
      <w:lang w:val="zh-CN"/>
    </w:rPr>
  </w:style>
  <w:style w:type="paragraph" w:styleId="11">
    <w:name w:val="heading 9"/>
    <w:basedOn w:val="1"/>
    <w:next w:val="1"/>
    <w:link w:val="33"/>
    <w:qFormat/>
    <w:uiPriority w:val="0"/>
    <w:pPr>
      <w:keepNext/>
      <w:keepLines/>
      <w:numPr>
        <w:ilvl w:val="8"/>
        <w:numId w:val="1"/>
      </w:numPr>
      <w:spacing w:before="240" w:after="64" w:line="320" w:lineRule="auto"/>
      <w:outlineLvl w:val="8"/>
    </w:pPr>
    <w:rPr>
      <w:rFonts w:ascii="等线 Light" w:hAnsi="等线 Light" w:eastAsia="等线 Light"/>
      <w:szCs w:val="21"/>
      <w:lang w:val="zh-CN"/>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12">
    <w:name w:val="Normal Indent"/>
    <w:basedOn w:val="1"/>
    <w:link w:val="34"/>
    <w:qFormat/>
    <w:uiPriority w:val="99"/>
    <w:pPr>
      <w:spacing w:beforeLines="50" w:line="360" w:lineRule="auto"/>
      <w:ind w:firstLine="512" w:firstLineChars="200"/>
    </w:pPr>
    <w:rPr>
      <w:spacing w:val="8"/>
      <w:sz w:val="24"/>
      <w:szCs w:val="20"/>
    </w:rPr>
  </w:style>
  <w:style w:type="paragraph" w:styleId="13">
    <w:name w:val="annotation text"/>
    <w:basedOn w:val="1"/>
    <w:link w:val="35"/>
    <w:unhideWhenUsed/>
    <w:qFormat/>
    <w:uiPriority w:val="0"/>
    <w:pPr>
      <w:jc w:val="left"/>
    </w:pPr>
    <w:rPr>
      <w:kern w:val="0"/>
      <w:sz w:val="20"/>
      <w:lang w:val="zh-CN"/>
    </w:rPr>
  </w:style>
  <w:style w:type="paragraph" w:styleId="14">
    <w:name w:val="Plain Text"/>
    <w:basedOn w:val="1"/>
    <w:link w:val="36"/>
    <w:uiPriority w:val="0"/>
    <w:rPr>
      <w:rFonts w:ascii="Calibri" w:hAnsi="Courier New"/>
      <w:szCs w:val="20"/>
      <w:lang w:val="zh-CN"/>
    </w:rPr>
  </w:style>
  <w:style w:type="paragraph" w:styleId="15">
    <w:name w:val="Balloon Text"/>
    <w:basedOn w:val="1"/>
    <w:link w:val="37"/>
    <w:qFormat/>
    <w:uiPriority w:val="0"/>
    <w:rPr>
      <w:sz w:val="18"/>
      <w:szCs w:val="18"/>
      <w:lang w:val="zh-CN"/>
    </w:rPr>
  </w:style>
  <w:style w:type="paragraph" w:styleId="16">
    <w:name w:val="footer"/>
    <w:basedOn w:val="1"/>
    <w:link w:val="38"/>
    <w:qFormat/>
    <w:uiPriority w:val="0"/>
    <w:pPr>
      <w:tabs>
        <w:tab w:val="center" w:pos="4153"/>
        <w:tab w:val="right" w:pos="8306"/>
      </w:tabs>
      <w:snapToGrid w:val="0"/>
      <w:jc w:val="left"/>
    </w:pPr>
    <w:rPr>
      <w:sz w:val="18"/>
      <w:szCs w:val="18"/>
      <w:lang w:val="zh-CN"/>
    </w:rPr>
  </w:style>
  <w:style w:type="paragraph" w:styleId="17">
    <w:name w:val="header"/>
    <w:basedOn w:val="1"/>
    <w:link w:val="39"/>
    <w:qFormat/>
    <w:uiPriority w:val="0"/>
    <w:pPr>
      <w:pBdr>
        <w:bottom w:val="single" w:color="auto" w:sz="6" w:space="1"/>
      </w:pBdr>
      <w:tabs>
        <w:tab w:val="center" w:pos="4153"/>
        <w:tab w:val="right" w:pos="8306"/>
      </w:tabs>
      <w:snapToGrid w:val="0"/>
      <w:jc w:val="center"/>
    </w:pPr>
    <w:rPr>
      <w:sz w:val="18"/>
      <w:szCs w:val="18"/>
      <w:lang w:val="zh-CN"/>
    </w:rPr>
  </w:style>
  <w:style w:type="paragraph" w:styleId="18">
    <w:name w:val="Subtitle"/>
    <w:basedOn w:val="1"/>
    <w:next w:val="1"/>
    <w:link w:val="64"/>
    <w:qFormat/>
    <w:uiPriority w:val="0"/>
    <w:pPr>
      <w:spacing w:beforeLines="50" w:after="60" w:line="312" w:lineRule="auto"/>
      <w:ind w:firstLine="200" w:firstLineChars="200"/>
      <w:jc w:val="center"/>
      <w:outlineLvl w:val="1"/>
    </w:pPr>
    <w:rPr>
      <w:rFonts w:ascii="Cambria" w:hAnsi="Cambria"/>
      <w:b/>
      <w:bCs/>
      <w:kern w:val="28"/>
      <w:sz w:val="32"/>
      <w:szCs w:val="32"/>
      <w:lang w:eastAsia="en-US"/>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1">
    <w:name w:val="Table Grid"/>
    <w:basedOn w:val="2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Hyperlink"/>
    <w:qFormat/>
    <w:uiPriority w:val="0"/>
    <w:rPr>
      <w:color w:val="0563C1"/>
      <w:u w:val="single"/>
    </w:rPr>
  </w:style>
  <w:style w:type="character" w:styleId="24">
    <w:name w:val="annotation reference"/>
    <w:unhideWhenUsed/>
    <w:qFormat/>
    <w:uiPriority w:val="99"/>
    <w:rPr>
      <w:sz w:val="21"/>
      <w:szCs w:val="21"/>
    </w:rPr>
  </w:style>
  <w:style w:type="character" w:customStyle="1" w:styleId="25">
    <w:name w:val="标题 1 Char"/>
    <w:link w:val="3"/>
    <w:qFormat/>
    <w:uiPriority w:val="0"/>
    <w:rPr>
      <w:b/>
      <w:bCs/>
      <w:kern w:val="44"/>
      <w:sz w:val="44"/>
      <w:szCs w:val="44"/>
      <w:lang w:val="zh-CN" w:eastAsia="zh-CN"/>
    </w:rPr>
  </w:style>
  <w:style w:type="character" w:customStyle="1" w:styleId="26">
    <w:name w:val="标题 2 Char"/>
    <w:link w:val="4"/>
    <w:qFormat/>
    <w:uiPriority w:val="0"/>
    <w:rPr>
      <w:rFonts w:ascii="等线 Light" w:hAnsi="等线 Light" w:eastAsia="等线 Light" w:cs="Times New Roman"/>
      <w:b/>
      <w:bCs/>
      <w:kern w:val="2"/>
      <w:sz w:val="32"/>
      <w:szCs w:val="32"/>
    </w:rPr>
  </w:style>
  <w:style w:type="character" w:customStyle="1" w:styleId="27">
    <w:name w:val="标题 3 Char"/>
    <w:link w:val="5"/>
    <w:qFormat/>
    <w:uiPriority w:val="0"/>
    <w:rPr>
      <w:b/>
      <w:bCs/>
      <w:kern w:val="2"/>
      <w:sz w:val="30"/>
      <w:szCs w:val="30"/>
    </w:rPr>
  </w:style>
  <w:style w:type="character" w:customStyle="1" w:styleId="28">
    <w:name w:val="标题 4 Char"/>
    <w:link w:val="6"/>
    <w:qFormat/>
    <w:uiPriority w:val="0"/>
    <w:rPr>
      <w:rFonts w:ascii="宋体" w:hAnsi="宋体"/>
      <w:b/>
      <w:bCs/>
      <w:kern w:val="2"/>
      <w:sz w:val="28"/>
      <w:szCs w:val="28"/>
    </w:rPr>
  </w:style>
  <w:style w:type="character" w:customStyle="1" w:styleId="29">
    <w:name w:val="标题 5 Char"/>
    <w:link w:val="7"/>
    <w:qFormat/>
    <w:uiPriority w:val="0"/>
    <w:rPr>
      <w:b/>
      <w:bCs/>
      <w:kern w:val="2"/>
      <w:sz w:val="28"/>
      <w:szCs w:val="28"/>
    </w:rPr>
  </w:style>
  <w:style w:type="character" w:customStyle="1" w:styleId="30">
    <w:name w:val="标题 6 Char"/>
    <w:link w:val="8"/>
    <w:semiHidden/>
    <w:qFormat/>
    <w:uiPriority w:val="0"/>
    <w:rPr>
      <w:rFonts w:ascii="等线 Light" w:hAnsi="等线 Light" w:eastAsia="等线 Light"/>
      <w:b/>
      <w:bCs/>
      <w:kern w:val="2"/>
      <w:sz w:val="24"/>
      <w:szCs w:val="24"/>
    </w:rPr>
  </w:style>
  <w:style w:type="character" w:customStyle="1" w:styleId="31">
    <w:name w:val="标题 7 Char"/>
    <w:link w:val="9"/>
    <w:semiHidden/>
    <w:qFormat/>
    <w:uiPriority w:val="0"/>
    <w:rPr>
      <w:b/>
      <w:bCs/>
      <w:kern w:val="2"/>
      <w:sz w:val="24"/>
      <w:szCs w:val="24"/>
    </w:rPr>
  </w:style>
  <w:style w:type="character" w:customStyle="1" w:styleId="32">
    <w:name w:val="标题 8 Char"/>
    <w:link w:val="10"/>
    <w:semiHidden/>
    <w:qFormat/>
    <w:uiPriority w:val="0"/>
    <w:rPr>
      <w:rFonts w:ascii="等线 Light" w:hAnsi="等线 Light" w:eastAsia="等线 Light"/>
      <w:kern w:val="2"/>
      <w:sz w:val="24"/>
      <w:szCs w:val="24"/>
    </w:rPr>
  </w:style>
  <w:style w:type="character" w:customStyle="1" w:styleId="33">
    <w:name w:val="标题 9 Char"/>
    <w:link w:val="11"/>
    <w:semiHidden/>
    <w:qFormat/>
    <w:uiPriority w:val="0"/>
    <w:rPr>
      <w:rFonts w:ascii="等线 Light" w:hAnsi="等线 Light" w:eastAsia="等线 Light"/>
      <w:kern w:val="2"/>
      <w:sz w:val="21"/>
      <w:szCs w:val="21"/>
    </w:rPr>
  </w:style>
  <w:style w:type="character" w:customStyle="1" w:styleId="34">
    <w:name w:val="正文缩进 Char"/>
    <w:link w:val="12"/>
    <w:qFormat/>
    <w:uiPriority w:val="99"/>
    <w:rPr>
      <w:spacing w:val="8"/>
      <w:kern w:val="2"/>
      <w:sz w:val="24"/>
      <w:lang w:val="en-US" w:eastAsia="zh-CN"/>
    </w:rPr>
  </w:style>
  <w:style w:type="character" w:customStyle="1" w:styleId="35">
    <w:name w:val="批注文字 Char"/>
    <w:link w:val="13"/>
    <w:qFormat/>
    <w:uiPriority w:val="0"/>
    <w:rPr>
      <w:szCs w:val="24"/>
    </w:rPr>
  </w:style>
  <w:style w:type="character" w:customStyle="1" w:styleId="36">
    <w:name w:val="纯文本 Char"/>
    <w:link w:val="14"/>
    <w:qFormat/>
    <w:uiPriority w:val="0"/>
    <w:rPr>
      <w:rFonts w:ascii="Calibri" w:hAnsi="Courier New"/>
      <w:kern w:val="2"/>
      <w:sz w:val="21"/>
    </w:rPr>
  </w:style>
  <w:style w:type="character" w:customStyle="1" w:styleId="37">
    <w:name w:val="批注框文本 Char"/>
    <w:link w:val="15"/>
    <w:qFormat/>
    <w:uiPriority w:val="0"/>
    <w:rPr>
      <w:kern w:val="2"/>
      <w:sz w:val="18"/>
      <w:szCs w:val="18"/>
    </w:rPr>
  </w:style>
  <w:style w:type="character" w:customStyle="1" w:styleId="38">
    <w:name w:val="页脚 Char"/>
    <w:link w:val="16"/>
    <w:qFormat/>
    <w:uiPriority w:val="0"/>
    <w:rPr>
      <w:kern w:val="2"/>
      <w:sz w:val="18"/>
      <w:szCs w:val="18"/>
    </w:rPr>
  </w:style>
  <w:style w:type="character" w:customStyle="1" w:styleId="39">
    <w:name w:val="页眉 Char"/>
    <w:link w:val="17"/>
    <w:qFormat/>
    <w:uiPriority w:val="0"/>
    <w:rPr>
      <w:kern w:val="2"/>
      <w:sz w:val="18"/>
      <w:szCs w:val="18"/>
    </w:rPr>
  </w:style>
  <w:style w:type="character" w:customStyle="1" w:styleId="40">
    <w:name w:val="已访问的超链接1"/>
    <w:qFormat/>
    <w:uiPriority w:val="0"/>
    <w:rPr>
      <w:color w:val="800080"/>
      <w:u w:val="single"/>
    </w:rPr>
  </w:style>
  <w:style w:type="character" w:customStyle="1" w:styleId="41">
    <w:name w:val="正文（首行缩进2字符） Char"/>
    <w:link w:val="42"/>
    <w:qFormat/>
    <w:uiPriority w:val="0"/>
    <w:rPr>
      <w:kern w:val="2"/>
      <w:sz w:val="24"/>
      <w:szCs w:val="24"/>
    </w:rPr>
  </w:style>
  <w:style w:type="paragraph" w:customStyle="1" w:styleId="42">
    <w:name w:val="正文（首行缩进2字符）"/>
    <w:basedOn w:val="1"/>
    <w:link w:val="41"/>
    <w:qFormat/>
    <w:uiPriority w:val="0"/>
    <w:pPr>
      <w:spacing w:line="360" w:lineRule="auto"/>
      <w:ind w:firstLine="480" w:firstLineChars="200"/>
    </w:pPr>
    <w:rPr>
      <w:sz w:val="24"/>
      <w:lang w:val="zh-CN"/>
    </w:rPr>
  </w:style>
  <w:style w:type="character" w:customStyle="1" w:styleId="43">
    <w:name w:val="段落 Char1"/>
    <w:link w:val="44"/>
    <w:qFormat/>
    <w:uiPriority w:val="0"/>
    <w:rPr>
      <w:rFonts w:eastAsia="仿宋_GB2312"/>
      <w:sz w:val="24"/>
      <w:szCs w:val="24"/>
      <w:lang w:val="en-US" w:eastAsia="zh-CN" w:bidi="ar-SA"/>
    </w:rPr>
  </w:style>
  <w:style w:type="paragraph" w:customStyle="1" w:styleId="44">
    <w:name w:val="段落"/>
    <w:link w:val="43"/>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sz w:val="24"/>
      <w:szCs w:val="24"/>
      <w:lang w:val="en-US" w:eastAsia="zh-CN" w:bidi="ar-SA"/>
    </w:rPr>
  </w:style>
  <w:style w:type="character" w:customStyle="1" w:styleId="45">
    <w:name w:val="正文（安华金和） Char"/>
    <w:link w:val="46"/>
    <w:qFormat/>
    <w:uiPriority w:val="0"/>
    <w:rPr>
      <w:rFonts w:ascii="Arial" w:hAnsi="Arial"/>
      <w:sz w:val="21"/>
      <w:szCs w:val="21"/>
      <w:lang w:val="en-US" w:eastAsia="zh-CN" w:bidi="ar-SA"/>
    </w:rPr>
  </w:style>
  <w:style w:type="paragraph" w:customStyle="1" w:styleId="46">
    <w:name w:val="正文（安华金和）"/>
    <w:link w:val="45"/>
    <w:qFormat/>
    <w:uiPriority w:val="0"/>
    <w:pPr>
      <w:widowControl w:val="0"/>
      <w:spacing w:line="360" w:lineRule="auto"/>
      <w:ind w:firstLine="200"/>
    </w:pPr>
    <w:rPr>
      <w:rFonts w:ascii="Arial" w:hAnsi="Arial" w:eastAsia="宋体" w:cs="Times New Roman"/>
      <w:sz w:val="21"/>
      <w:szCs w:val="21"/>
      <w:lang w:val="en-US" w:eastAsia="zh-CN" w:bidi="ar-SA"/>
    </w:rPr>
  </w:style>
  <w:style w:type="character" w:customStyle="1" w:styleId="47">
    <w:name w:val="页脚 字符"/>
    <w:qFormat/>
    <w:uiPriority w:val="99"/>
  </w:style>
  <w:style w:type="character" w:customStyle="1" w:styleId="48">
    <w:name w:val="列出段落 Char"/>
    <w:link w:val="49"/>
    <w:qFormat/>
    <w:uiPriority w:val="34"/>
    <w:rPr>
      <w:rFonts w:ascii="等线" w:hAnsi="等线" w:eastAsia="等线"/>
      <w:kern w:val="2"/>
      <w:sz w:val="21"/>
      <w:szCs w:val="22"/>
    </w:rPr>
  </w:style>
  <w:style w:type="paragraph" w:styleId="49">
    <w:name w:val="List Paragraph"/>
    <w:basedOn w:val="1"/>
    <w:link w:val="48"/>
    <w:qFormat/>
    <w:uiPriority w:val="34"/>
    <w:pPr>
      <w:ind w:firstLine="420" w:firstLineChars="200"/>
    </w:pPr>
    <w:rPr>
      <w:rFonts w:ascii="等线" w:hAnsi="等线" w:eastAsia="等线"/>
      <w:szCs w:val="22"/>
      <w:lang w:val="zh-CN"/>
    </w:rPr>
  </w:style>
  <w:style w:type="paragraph" w:customStyle="1" w:styleId="50">
    <w:name w:val="插图标注（安华金和）"/>
    <w:next w:val="1"/>
    <w:qFormat/>
    <w:uiPriority w:val="0"/>
    <w:pPr>
      <w:numPr>
        <w:ilvl w:val="6"/>
        <w:numId w:val="2"/>
      </w:numPr>
      <w:spacing w:after="156"/>
      <w:jc w:val="center"/>
    </w:pPr>
    <w:rPr>
      <w:rFonts w:ascii="Arial" w:hAnsi="Arial" w:eastAsia="宋体" w:cs="Arial"/>
      <w:sz w:val="21"/>
      <w:szCs w:val="21"/>
      <w:lang w:val="en-US" w:eastAsia="zh-CN" w:bidi="ar-SA"/>
    </w:rPr>
  </w:style>
  <w:style w:type="paragraph" w:customStyle="1" w:styleId="51">
    <w:name w:val="标题 2（DBSec）"/>
    <w:basedOn w:val="4"/>
    <w:next w:val="1"/>
    <w:qFormat/>
    <w:uiPriority w:val="0"/>
    <w:pPr>
      <w:numPr>
        <w:ilvl w:val="1"/>
        <w:numId w:val="2"/>
      </w:numPr>
      <w:spacing w:line="415" w:lineRule="auto"/>
      <w:ind w:left="794" w:leftChars="200"/>
      <w:jc w:val="left"/>
    </w:pPr>
    <w:rPr>
      <w:rFonts w:ascii="Arial" w:hAnsi="Arial" w:eastAsia="黑体"/>
      <w:bCs w:val="0"/>
    </w:rPr>
  </w:style>
  <w:style w:type="paragraph" w:customStyle="1" w:styleId="52">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53">
    <w:name w:val="_Style 27"/>
    <w:basedOn w:val="1"/>
    <w:next w:val="49"/>
    <w:qFormat/>
    <w:uiPriority w:val="34"/>
    <w:pPr>
      <w:widowControl/>
      <w:spacing w:line="240" w:lineRule="atLeast"/>
      <w:ind w:firstLine="420" w:firstLineChars="200"/>
    </w:pPr>
    <w:rPr>
      <w:rFonts w:ascii="Arial" w:hAnsi="Arial"/>
      <w:kern w:val="0"/>
      <w:szCs w:val="21"/>
    </w:rPr>
  </w:style>
  <w:style w:type="paragraph" w:customStyle="1" w:styleId="54">
    <w:name w:val="列出段落2"/>
    <w:basedOn w:val="1"/>
    <w:qFormat/>
    <w:uiPriority w:val="99"/>
    <w:pPr>
      <w:widowControl/>
      <w:spacing w:line="240" w:lineRule="atLeast"/>
      <w:ind w:firstLine="420" w:firstLineChars="200"/>
    </w:pPr>
    <w:rPr>
      <w:rFonts w:ascii="Arial" w:hAnsi="Arial"/>
      <w:kern w:val="0"/>
      <w:szCs w:val="21"/>
    </w:rPr>
  </w:style>
  <w:style w:type="paragraph" w:customStyle="1" w:styleId="55">
    <w:name w:val="标题 6（有编号）（安华金和）"/>
    <w:basedOn w:val="1"/>
    <w:next w:val="1"/>
    <w:qFormat/>
    <w:uiPriority w:val="0"/>
    <w:pPr>
      <w:keepNext/>
      <w:keepLines/>
      <w:numPr>
        <w:ilvl w:val="5"/>
        <w:numId w:val="2"/>
      </w:numPr>
      <w:spacing w:before="240" w:after="64" w:line="319" w:lineRule="auto"/>
      <w:ind w:left="0"/>
      <w:jc w:val="left"/>
      <w:outlineLvl w:val="5"/>
    </w:pPr>
    <w:rPr>
      <w:rFonts w:ascii="Arial" w:hAnsi="Arial" w:eastAsia="黑体"/>
      <w:b/>
      <w:kern w:val="0"/>
    </w:rPr>
  </w:style>
  <w:style w:type="paragraph" w:customStyle="1" w:styleId="56">
    <w:name w:val="标题 4（DBSec）"/>
    <w:basedOn w:val="6"/>
    <w:next w:val="1"/>
    <w:qFormat/>
    <w:uiPriority w:val="0"/>
    <w:pPr>
      <w:widowControl/>
      <w:numPr>
        <w:numId w:val="2"/>
      </w:numPr>
      <w:spacing w:after="156"/>
      <w:ind w:left="200" w:leftChars="200"/>
      <w:jc w:val="left"/>
    </w:pPr>
    <w:rPr>
      <w:rFonts w:ascii="Arial" w:hAnsi="Arial" w:eastAsia="黑体"/>
      <w:bCs w:val="0"/>
      <w:kern w:val="0"/>
    </w:rPr>
  </w:style>
  <w:style w:type="paragraph" w:customStyle="1" w:styleId="57">
    <w:name w:val="标题 3（DBSec）"/>
    <w:basedOn w:val="5"/>
    <w:next w:val="1"/>
    <w:qFormat/>
    <w:uiPriority w:val="0"/>
    <w:pPr>
      <w:numPr>
        <w:ilvl w:val="2"/>
        <w:numId w:val="2"/>
      </w:numPr>
      <w:tabs>
        <w:tab w:val="left" w:pos="960"/>
      </w:tabs>
      <w:spacing w:line="415" w:lineRule="auto"/>
      <w:ind w:left="200" w:leftChars="200"/>
      <w:jc w:val="left"/>
    </w:pPr>
    <w:rPr>
      <w:rFonts w:ascii="Arial" w:hAnsi="Arial" w:eastAsia="黑体"/>
      <w:bCs w:val="0"/>
      <w:kern w:val="0"/>
    </w:rPr>
  </w:style>
  <w:style w:type="paragraph" w:customStyle="1" w:styleId="58">
    <w:name w:val="标题 1（DBSec）"/>
    <w:basedOn w:val="3"/>
    <w:next w:val="1"/>
    <w:qFormat/>
    <w:uiPriority w:val="0"/>
    <w:pPr>
      <w:pageBreakBefore/>
      <w:numPr>
        <w:numId w:val="2"/>
      </w:numPr>
      <w:pBdr>
        <w:bottom w:val="single" w:color="auto" w:sz="48" w:space="1"/>
      </w:pBdr>
      <w:spacing w:before="600" w:line="576" w:lineRule="auto"/>
      <w:ind w:left="200" w:leftChars="200"/>
      <w:jc w:val="left"/>
    </w:pPr>
    <w:rPr>
      <w:rFonts w:ascii="Arial" w:hAnsi="Arial" w:eastAsia="黑体"/>
      <w:lang w:val="en-US"/>
    </w:rPr>
  </w:style>
  <w:style w:type="paragraph" w:customStyle="1" w:styleId="59">
    <w:name w:val="彩色列表 - 着色 11"/>
    <w:basedOn w:val="1"/>
    <w:qFormat/>
    <w:uiPriority w:val="34"/>
    <w:pPr>
      <w:spacing w:line="360" w:lineRule="auto"/>
      <w:ind w:firstLine="420" w:firstLineChars="200"/>
    </w:pPr>
    <w:rPr>
      <w:rFonts w:ascii="Arial" w:hAnsi="Arial"/>
      <w:szCs w:val="21"/>
    </w:rPr>
  </w:style>
  <w:style w:type="paragraph" w:customStyle="1" w:styleId="60">
    <w:name w:val="表格标注（安华金和）"/>
    <w:basedOn w:val="50"/>
    <w:next w:val="1"/>
    <w:qFormat/>
    <w:uiPriority w:val="0"/>
    <w:pPr>
      <w:numPr>
        <w:ilvl w:val="7"/>
      </w:numPr>
    </w:pPr>
  </w:style>
  <w:style w:type="paragraph" w:customStyle="1" w:styleId="61">
    <w:name w:val="标题 5（有编号）（安华金和）"/>
    <w:basedOn w:val="1"/>
    <w:next w:val="1"/>
    <w:qFormat/>
    <w:uiPriority w:val="0"/>
    <w:pPr>
      <w:keepNext/>
      <w:keepLines/>
      <w:numPr>
        <w:ilvl w:val="4"/>
        <w:numId w:val="2"/>
      </w:numPr>
      <w:spacing w:before="280" w:after="156" w:line="377" w:lineRule="auto"/>
      <w:ind w:left="0"/>
      <w:jc w:val="left"/>
      <w:outlineLvl w:val="4"/>
    </w:pPr>
    <w:rPr>
      <w:rFonts w:ascii="Arial" w:hAnsi="Arial" w:eastAsia="黑体"/>
      <w:b/>
      <w:kern w:val="0"/>
      <w:sz w:val="24"/>
      <w:szCs w:val="28"/>
    </w:rPr>
  </w:style>
  <w:style w:type="paragraph" w:customStyle="1" w:styleId="62">
    <w:name w:val="List Paragraph11"/>
    <w:basedOn w:val="1"/>
    <w:next w:val="1"/>
    <w:qFormat/>
    <w:uiPriority w:val="34"/>
    <w:pPr>
      <w:spacing w:line="360" w:lineRule="auto"/>
      <w:ind w:firstLine="420" w:firstLineChars="200"/>
    </w:pPr>
    <w:rPr>
      <w:rFonts w:ascii="Verdana" w:hAnsi="Verdana"/>
      <w:color w:val="000000"/>
      <w:sz w:val="20"/>
      <w:szCs w:val="20"/>
    </w:rPr>
  </w:style>
  <w:style w:type="character" w:customStyle="1" w:styleId="63">
    <w:name w:val="批注文字 字符"/>
    <w:qFormat/>
    <w:uiPriority w:val="99"/>
    <w:rPr>
      <w:kern w:val="2"/>
      <w:sz w:val="21"/>
      <w:szCs w:val="24"/>
    </w:rPr>
  </w:style>
  <w:style w:type="character" w:customStyle="1" w:styleId="64">
    <w:name w:val="副标题 Char"/>
    <w:link w:val="18"/>
    <w:qFormat/>
    <w:uiPriority w:val="0"/>
    <w:rPr>
      <w:rFonts w:ascii="Cambria" w:hAnsi="Cambria"/>
      <w:b/>
      <w:bCs/>
      <w:kern w:val="28"/>
      <w:sz w:val="32"/>
      <w:szCs w:val="3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package" Target="embeddings/Document1.docx"/><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11</Pages>
  <Words>6977</Words>
  <Characters>7576</Characters>
  <Lines>56</Lines>
  <Paragraphs>15</Paragraphs>
  <TotalTime>10</TotalTime>
  <ScaleCrop>false</ScaleCrop>
  <LinksUpToDate>false</LinksUpToDate>
  <CharactersWithSpaces>7617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2023-03-14T04:34:00Z</dcterms:created>
  <dc:creator>陈永辉</dc:creator>
  <cp:lastModifiedBy>Administrator</cp:lastModifiedBy>
  <dcterms:modified xsi:type="dcterms:W3CDTF">2023-03-14T12:22:24Z</dcterms:modified>
  <dc:title>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80BA1A2B7200403F98AE0006F96632B7</vt:lpwstr>
  </property>
</Properties>
</file>