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60" w:lineRule="auto"/>
        <w:jc w:val="center"/>
        <w:rPr>
          <w:rFonts w:hint="eastAsia" w:ascii="宋体" w:hAnsi="宋体"/>
          <w:b/>
          <w:sz w:val="44"/>
          <w:szCs w:val="30"/>
        </w:rPr>
      </w:pPr>
      <w:r>
        <w:rPr>
          <w:rFonts w:hint="eastAsia" w:ascii="宋体" w:hAnsi="宋体"/>
          <w:b/>
          <w:sz w:val="44"/>
          <w:szCs w:val="30"/>
        </w:rPr>
        <w:t>采购银联对账接口服务项目需求</w:t>
      </w:r>
    </w:p>
    <w:p>
      <w:pPr>
        <w:pStyle w:val="2"/>
        <w:numPr>
          <w:ilvl w:val="0"/>
          <w:numId w:val="3"/>
        </w:numPr>
        <w:spacing w:before="0" w:after="0"/>
        <w:rPr>
          <w:rFonts w:ascii="宋体" w:hAnsi="宋体"/>
          <w:sz w:val="32"/>
          <w:szCs w:val="32"/>
        </w:rPr>
      </w:pPr>
      <w:r>
        <w:rPr>
          <w:rFonts w:hint="eastAsia" w:ascii="宋体" w:hAnsi="宋体"/>
          <w:sz w:val="32"/>
          <w:szCs w:val="32"/>
        </w:rPr>
        <w:t>项目名称</w:t>
      </w:r>
    </w:p>
    <w:p>
      <w:pPr>
        <w:spacing w:line="360" w:lineRule="auto"/>
        <w:ind w:left="432"/>
        <w:rPr>
          <w:rFonts w:ascii="宋体" w:hAnsi="宋体"/>
          <w:sz w:val="22"/>
        </w:rPr>
      </w:pPr>
      <w:r>
        <w:rPr>
          <w:rFonts w:hint="eastAsia" w:ascii="宋体" w:hAnsi="宋体"/>
          <w:sz w:val="22"/>
        </w:rPr>
        <w:t>项目名称：采购银联对账接口服务项目</w:t>
      </w:r>
    </w:p>
    <w:p>
      <w:pPr>
        <w:spacing w:line="360" w:lineRule="auto"/>
        <w:ind w:left="432"/>
        <w:rPr>
          <w:rFonts w:ascii="宋体" w:hAnsi="宋体"/>
          <w:sz w:val="22"/>
        </w:rPr>
      </w:pPr>
    </w:p>
    <w:p>
      <w:pPr>
        <w:pStyle w:val="2"/>
        <w:numPr>
          <w:ilvl w:val="0"/>
          <w:numId w:val="3"/>
        </w:numPr>
        <w:spacing w:before="0" w:after="0"/>
        <w:rPr>
          <w:rFonts w:hint="eastAsia" w:ascii="宋体" w:hAnsi="宋体"/>
          <w:sz w:val="32"/>
          <w:szCs w:val="32"/>
        </w:rPr>
      </w:pPr>
      <w:r>
        <w:rPr>
          <w:rFonts w:hint="eastAsia" w:ascii="宋体" w:hAnsi="宋体"/>
          <w:sz w:val="32"/>
          <w:szCs w:val="32"/>
          <w:lang w:eastAsia="zh-CN"/>
        </w:rPr>
        <w:t>项目内容</w:t>
      </w:r>
    </w:p>
    <w:p>
      <w:pPr>
        <w:rPr>
          <w:rFonts w:hint="eastAsia"/>
        </w:rPr>
      </w:pPr>
      <w:r>
        <w:rPr>
          <w:rFonts w:hint="eastAsia"/>
        </w:rPr>
        <w:t>项目</w:t>
      </w:r>
      <w:r>
        <w:t>功能</w:t>
      </w:r>
      <w:r>
        <w:rPr>
          <w:rFonts w:hint="eastAsia"/>
        </w:rPr>
        <w:t>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3828"/>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pPr>
            <w:r>
              <w:rPr>
                <w:rFonts w:hint="eastAsia"/>
              </w:rPr>
              <w:t>序号</w:t>
            </w:r>
          </w:p>
        </w:tc>
        <w:tc>
          <w:tcPr>
            <w:tcW w:w="3828" w:type="dxa"/>
          </w:tcPr>
          <w:p>
            <w:pPr>
              <w:jc w:val="center"/>
              <w:rPr>
                <w:rFonts w:hint="eastAsia"/>
              </w:rPr>
            </w:pPr>
            <w:r>
              <w:rPr>
                <w:rFonts w:hint="eastAsia"/>
              </w:rPr>
              <w:t>系统名称</w:t>
            </w:r>
          </w:p>
        </w:tc>
        <w:tc>
          <w:tcPr>
            <w:tcW w:w="4536" w:type="dxa"/>
          </w:tcPr>
          <w:p>
            <w:pPr>
              <w:jc w:val="center"/>
            </w:pPr>
            <w:r>
              <w:rPr>
                <w:rFonts w:hint="eastAsia"/>
              </w:rPr>
              <w:t>功能模块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pPr>
            <w:r>
              <w:t>1</w:t>
            </w:r>
          </w:p>
        </w:tc>
        <w:tc>
          <w:tcPr>
            <w:tcW w:w="3828" w:type="dxa"/>
          </w:tcPr>
          <w:p>
            <w:pPr>
              <w:rPr>
                <w:rFonts w:hint="eastAsia"/>
              </w:rPr>
            </w:pPr>
            <w:r>
              <w:rPr>
                <w:rFonts w:hint="eastAsia"/>
              </w:rPr>
              <w:t>采购银联对账接口服务项目</w:t>
            </w:r>
          </w:p>
        </w:tc>
        <w:tc>
          <w:tcPr>
            <w:tcW w:w="4536" w:type="dxa"/>
          </w:tcPr>
          <w:p>
            <w:r>
              <w:fldChar w:fldCharType="begin"/>
            </w:r>
            <w:r>
              <w:instrText xml:space="preserve"> HYPERLINK \l "_6.1.1、大数据服务器" </w:instrText>
            </w:r>
            <w:r>
              <w:fldChar w:fldCharType="separate"/>
            </w:r>
            <w:r>
              <w:rPr>
                <w:rFonts w:hint="eastAsia"/>
                <w:lang w:eastAsia="zh-CN"/>
              </w:rPr>
              <w:t>需求</w:t>
            </w:r>
            <w:r>
              <w:rPr>
                <w:rStyle w:val="22"/>
                <w:rFonts w:hint="eastAsia"/>
              </w:rPr>
              <w:t>详见3</w:t>
            </w:r>
            <w:r>
              <w:rPr>
                <w:rStyle w:val="22"/>
              </w:rPr>
              <w:t>.</w:t>
            </w:r>
            <w:r>
              <w:rPr>
                <w:rStyle w:val="22"/>
                <w:rFonts w:hint="eastAsia"/>
              </w:rPr>
              <w:t>1</w:t>
            </w:r>
            <w:r>
              <w:rPr>
                <w:rStyle w:val="22"/>
                <w:rFonts w:hint="eastAsia"/>
              </w:rPr>
              <w:fldChar w:fldCharType="end"/>
            </w:r>
          </w:p>
        </w:tc>
      </w:tr>
    </w:tbl>
    <w:p>
      <w:pPr>
        <w:pStyle w:val="48"/>
        <w:keepNext/>
        <w:keepLines/>
        <w:numPr>
          <w:ilvl w:val="0"/>
          <w:numId w:val="1"/>
        </w:numPr>
        <w:spacing w:line="578" w:lineRule="auto"/>
        <w:ind w:firstLineChars="0"/>
        <w:outlineLvl w:val="0"/>
        <w:rPr>
          <w:rFonts w:hint="eastAsia" w:ascii="宋体" w:hAnsi="宋体" w:eastAsia="宋体"/>
          <w:b/>
          <w:bCs/>
          <w:vanish/>
          <w:kern w:val="44"/>
          <w:sz w:val="44"/>
          <w:szCs w:val="44"/>
        </w:rPr>
      </w:pPr>
    </w:p>
    <w:p>
      <w:pPr>
        <w:pStyle w:val="48"/>
        <w:keepNext/>
        <w:keepLines/>
        <w:numPr>
          <w:ilvl w:val="0"/>
          <w:numId w:val="1"/>
        </w:numPr>
        <w:spacing w:line="578" w:lineRule="auto"/>
        <w:ind w:firstLineChars="0"/>
        <w:outlineLvl w:val="0"/>
        <w:rPr>
          <w:rFonts w:hint="eastAsia" w:ascii="宋体" w:hAnsi="宋体" w:eastAsia="宋体"/>
          <w:b/>
          <w:bCs/>
          <w:vanish/>
          <w:kern w:val="44"/>
          <w:sz w:val="44"/>
          <w:szCs w:val="44"/>
        </w:rPr>
      </w:pPr>
    </w:p>
    <w:p>
      <w:pPr>
        <w:pStyle w:val="48"/>
        <w:keepNext/>
        <w:keepLines/>
        <w:numPr>
          <w:ilvl w:val="0"/>
          <w:numId w:val="1"/>
        </w:numPr>
        <w:spacing w:line="578" w:lineRule="auto"/>
        <w:ind w:firstLineChars="0"/>
        <w:outlineLvl w:val="0"/>
        <w:rPr>
          <w:rFonts w:hint="eastAsia" w:ascii="宋体" w:hAnsi="宋体" w:eastAsia="宋体"/>
          <w:b/>
          <w:bCs/>
          <w:vanish/>
          <w:kern w:val="44"/>
          <w:sz w:val="44"/>
          <w:szCs w:val="44"/>
        </w:rPr>
      </w:pPr>
    </w:p>
    <w:p>
      <w:pPr>
        <w:pStyle w:val="48"/>
        <w:keepNext/>
        <w:keepLines/>
        <w:numPr>
          <w:ilvl w:val="1"/>
          <w:numId w:val="1"/>
        </w:numPr>
        <w:spacing w:line="578" w:lineRule="auto"/>
        <w:ind w:firstLineChars="0"/>
        <w:outlineLvl w:val="0"/>
        <w:rPr>
          <w:rFonts w:hint="eastAsia" w:ascii="宋体" w:hAnsi="宋体" w:eastAsia="宋体"/>
          <w:b/>
          <w:bCs/>
          <w:vanish/>
          <w:kern w:val="44"/>
          <w:sz w:val="44"/>
          <w:szCs w:val="44"/>
        </w:rPr>
      </w:pPr>
    </w:p>
    <w:p>
      <w:pPr>
        <w:pStyle w:val="2"/>
        <w:numPr>
          <w:ilvl w:val="0"/>
          <w:numId w:val="0"/>
        </w:numPr>
        <w:spacing w:before="0" w:after="0"/>
        <w:ind w:left="432"/>
        <w:rPr>
          <w:rFonts w:ascii="宋体" w:hAnsi="宋体"/>
          <w:sz w:val="32"/>
          <w:szCs w:val="32"/>
        </w:rPr>
      </w:pPr>
    </w:p>
    <w:p>
      <w:pPr>
        <w:pStyle w:val="2"/>
        <w:numPr>
          <w:ilvl w:val="0"/>
          <w:numId w:val="3"/>
        </w:numPr>
        <w:spacing w:before="0" w:after="0"/>
        <w:rPr>
          <w:rFonts w:ascii="宋体" w:hAnsi="宋体"/>
          <w:sz w:val="32"/>
          <w:szCs w:val="32"/>
        </w:rPr>
      </w:pPr>
      <w:r>
        <w:rPr>
          <w:rFonts w:hint="eastAsia" w:ascii="宋体" w:hAnsi="宋体"/>
          <w:sz w:val="32"/>
          <w:szCs w:val="32"/>
        </w:rPr>
        <w:t>详细</w:t>
      </w:r>
      <w:r>
        <w:rPr>
          <w:rFonts w:hint="eastAsia" w:ascii="宋体" w:hAnsi="宋体"/>
          <w:sz w:val="32"/>
          <w:szCs w:val="32"/>
          <w:lang w:eastAsia="zh-CN"/>
        </w:rPr>
        <w:t>功能描述</w:t>
      </w:r>
    </w:p>
    <w:p>
      <w:pPr>
        <w:pStyle w:val="2"/>
        <w:numPr>
          <w:ilvl w:val="0"/>
          <w:numId w:val="0"/>
        </w:numPr>
        <w:spacing w:line="579" w:lineRule="auto"/>
        <w:ind w:leftChars="0"/>
        <w:jc w:val="left"/>
        <w:rPr>
          <w:rFonts w:hint="eastAsia" w:ascii="宋体" w:hAnsi="宋体" w:eastAsia="宋体" w:cs="宋体"/>
          <w:color w:val="000000" w:themeColor="text1"/>
          <w:sz w:val="21"/>
          <w:szCs w:val="21"/>
          <w14:textFill>
            <w14:solidFill>
              <w14:schemeClr w14:val="tx1"/>
            </w14:solidFill>
          </w14:textFill>
        </w:rPr>
      </w:pPr>
      <w:bookmarkStart w:id="0" w:name="_6.1.1、大数据服务器"/>
      <w:bookmarkEnd w:id="0"/>
      <w:bookmarkStart w:id="1" w:name="_6.1.2、容器服务器"/>
      <w:bookmarkEnd w:id="1"/>
      <w:r>
        <w:rPr>
          <w:rFonts w:hint="eastAsia" w:ascii="宋体" w:hAnsi="宋体" w:eastAsia="宋体" w:cs="宋体"/>
          <w:color w:val="000000" w:themeColor="text1"/>
          <w:sz w:val="21"/>
          <w:szCs w:val="21"/>
          <w:lang w:val="en-US" w:eastAsia="zh-CN"/>
          <w14:textFill>
            <w14:solidFill>
              <w14:schemeClr w14:val="tx1"/>
            </w14:solidFill>
          </w14:textFill>
        </w:rPr>
        <w:t>3.1.1</w:t>
      </w:r>
      <w:r>
        <w:rPr>
          <w:rFonts w:hint="eastAsia" w:ascii="宋体" w:hAnsi="宋体" w:eastAsia="宋体" w:cs="宋体"/>
          <w:color w:val="000000" w:themeColor="text1"/>
          <w:sz w:val="21"/>
          <w:szCs w:val="21"/>
          <w14:textFill>
            <w14:solidFill>
              <w14:schemeClr w14:val="tx1"/>
            </w14:solidFill>
          </w14:textFill>
        </w:rPr>
        <w:t>需求</w:t>
      </w:r>
      <w:r>
        <w:rPr>
          <w:rFonts w:hint="eastAsia" w:ascii="宋体" w:hAnsi="宋体" w:eastAsia="宋体" w:cs="宋体"/>
          <w:color w:val="000000" w:themeColor="text1"/>
          <w:sz w:val="21"/>
          <w:szCs w:val="21"/>
          <w:lang w:eastAsia="zh-CN"/>
          <w14:textFill>
            <w14:solidFill>
              <w14:schemeClr w14:val="tx1"/>
            </w14:solidFill>
          </w14:textFill>
        </w:rPr>
        <w:t>总</w:t>
      </w:r>
      <w:r>
        <w:rPr>
          <w:rFonts w:hint="eastAsia" w:ascii="宋体" w:hAnsi="宋体" w:eastAsia="宋体" w:cs="宋体"/>
          <w:color w:val="000000" w:themeColor="text1"/>
          <w:sz w:val="21"/>
          <w:szCs w:val="21"/>
          <w14:textFill>
            <w14:solidFill>
              <w14:schemeClr w14:val="tx1"/>
            </w14:solidFill>
          </w14:textFill>
        </w:rPr>
        <w:t>述</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按日提供银行卡刷卡、社保卡/医保电子凭证（医保个账）、微信/支付宝、无感信用支付的交易对账单，包括但不限于以下场景、支付方式和银行商户：</w:t>
      </w:r>
    </w:p>
    <w:tbl>
      <w:tblPr>
        <w:tblStyle w:val="20"/>
        <w:tblW w:w="6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shd w:val="clear" w:color="auto" w:fill="4472C4" w:themeFill="accent5"/>
          </w:tcPr>
          <w:p>
            <w:p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场景</w:t>
            </w:r>
          </w:p>
        </w:tc>
        <w:tc>
          <w:tcPr>
            <w:tcW w:w="3827" w:type="dxa"/>
            <w:shd w:val="clear" w:color="auto" w:fill="4472C4" w:themeFill="accent5"/>
          </w:tcPr>
          <w:p>
            <w:p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restart"/>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线下收费窗口</w:t>
            </w:r>
          </w:p>
        </w:tc>
        <w:tc>
          <w:tcPr>
            <w:tcW w:w="3827"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银行卡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tcPr>
          <w:p>
            <w:pPr>
              <w:rPr>
                <w:rFonts w:hint="eastAsia" w:ascii="宋体" w:hAnsi="宋体" w:eastAsia="宋体" w:cs="宋体"/>
                <w:color w:val="000000" w:themeColor="text1"/>
                <w:sz w:val="21"/>
                <w:szCs w:val="21"/>
                <w14:textFill>
                  <w14:solidFill>
                    <w14:schemeClr w14:val="tx1"/>
                  </w14:solidFill>
                </w14:textFill>
              </w:rPr>
            </w:pPr>
          </w:p>
        </w:tc>
        <w:tc>
          <w:tcPr>
            <w:tcW w:w="3827"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社保卡（医保个账）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tcPr>
          <w:p>
            <w:pPr>
              <w:rPr>
                <w:rFonts w:hint="eastAsia" w:ascii="宋体" w:hAnsi="宋体" w:eastAsia="宋体" w:cs="宋体"/>
                <w:color w:val="000000" w:themeColor="text1"/>
                <w:sz w:val="21"/>
                <w:szCs w:val="21"/>
                <w14:textFill>
                  <w14:solidFill>
                    <w14:schemeClr w14:val="tx1"/>
                  </w14:solidFill>
                </w14:textFill>
              </w:rPr>
            </w:pPr>
          </w:p>
        </w:tc>
        <w:tc>
          <w:tcPr>
            <w:tcW w:w="3827"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医保电子凭证（医保个账）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tcPr>
          <w:p>
            <w:pPr>
              <w:rPr>
                <w:rFonts w:hint="eastAsia" w:ascii="宋体" w:hAnsi="宋体" w:eastAsia="宋体" w:cs="宋体"/>
                <w:color w:val="000000" w:themeColor="text1"/>
                <w:sz w:val="21"/>
                <w:szCs w:val="21"/>
                <w14:textFill>
                  <w14:solidFill>
                    <w14:schemeClr w14:val="tx1"/>
                  </w14:solidFill>
                </w14:textFill>
              </w:rPr>
            </w:pPr>
          </w:p>
        </w:tc>
        <w:tc>
          <w:tcPr>
            <w:tcW w:w="3827"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无感信用支付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restart"/>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自助机</w:t>
            </w:r>
          </w:p>
        </w:tc>
        <w:tc>
          <w:tcPr>
            <w:tcW w:w="3827"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银行卡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tcPr>
          <w:p>
            <w:pPr>
              <w:rPr>
                <w:rFonts w:hint="eastAsia" w:ascii="宋体" w:hAnsi="宋体" w:eastAsia="宋体" w:cs="宋体"/>
                <w:color w:val="000000" w:themeColor="text1"/>
                <w:sz w:val="21"/>
                <w:szCs w:val="21"/>
                <w14:textFill>
                  <w14:solidFill>
                    <w14:schemeClr w14:val="tx1"/>
                  </w14:solidFill>
                </w14:textFill>
              </w:rPr>
            </w:pPr>
          </w:p>
        </w:tc>
        <w:tc>
          <w:tcPr>
            <w:tcW w:w="3827"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社保卡（医保个账）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tcPr>
          <w:p>
            <w:pPr>
              <w:rPr>
                <w:rFonts w:hint="eastAsia" w:ascii="宋体" w:hAnsi="宋体" w:eastAsia="宋体" w:cs="宋体"/>
                <w:color w:val="000000" w:themeColor="text1"/>
                <w:sz w:val="21"/>
                <w:szCs w:val="21"/>
                <w14:textFill>
                  <w14:solidFill>
                    <w14:schemeClr w14:val="tx1"/>
                  </w14:solidFill>
                </w14:textFill>
              </w:rPr>
            </w:pPr>
          </w:p>
        </w:tc>
        <w:tc>
          <w:tcPr>
            <w:tcW w:w="3827"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医保电子凭证（医保个账）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tcPr>
          <w:p>
            <w:pPr>
              <w:rPr>
                <w:rFonts w:hint="eastAsia" w:ascii="宋体" w:hAnsi="宋体" w:eastAsia="宋体" w:cs="宋体"/>
                <w:color w:val="000000" w:themeColor="text1"/>
                <w:sz w:val="21"/>
                <w:szCs w:val="21"/>
                <w14:textFill>
                  <w14:solidFill>
                    <w14:schemeClr w14:val="tx1"/>
                  </w14:solidFill>
                </w14:textFill>
              </w:rPr>
            </w:pPr>
          </w:p>
        </w:tc>
        <w:tc>
          <w:tcPr>
            <w:tcW w:w="3827"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tcPr>
          <w:p>
            <w:pPr>
              <w:rPr>
                <w:rFonts w:hint="eastAsia" w:ascii="宋体" w:hAnsi="宋体" w:eastAsia="宋体" w:cs="宋体"/>
                <w:color w:val="000000" w:themeColor="text1"/>
                <w:sz w:val="21"/>
                <w:szCs w:val="21"/>
                <w14:textFill>
                  <w14:solidFill>
                    <w14:schemeClr w14:val="tx1"/>
                  </w14:solidFill>
                </w14:textFill>
              </w:rPr>
            </w:pPr>
          </w:p>
        </w:tc>
        <w:tc>
          <w:tcPr>
            <w:tcW w:w="3827"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支付宝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tcPr>
          <w:p>
            <w:pPr>
              <w:rPr>
                <w:rFonts w:hint="eastAsia" w:ascii="宋体" w:hAnsi="宋体" w:eastAsia="宋体" w:cs="宋体"/>
                <w:color w:val="000000" w:themeColor="text1"/>
                <w:sz w:val="21"/>
                <w:szCs w:val="21"/>
                <w14:textFill>
                  <w14:solidFill>
                    <w14:schemeClr w14:val="tx1"/>
                  </w14:solidFill>
                </w14:textFill>
              </w:rPr>
            </w:pPr>
          </w:p>
        </w:tc>
        <w:tc>
          <w:tcPr>
            <w:tcW w:w="3827"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无感信用支付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微信公众号、诊间处方扫码等线上场景</w:t>
            </w:r>
          </w:p>
        </w:tc>
        <w:tc>
          <w:tcPr>
            <w:tcW w:w="3827"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无感信用支付</w:t>
            </w:r>
          </w:p>
        </w:tc>
      </w:tr>
    </w:tbl>
    <w:p>
      <w:pPr>
        <w:rPr>
          <w:rFonts w:hint="eastAsia" w:ascii="宋体" w:hAnsi="宋体" w:eastAsia="宋体" w:cs="宋体"/>
          <w:color w:val="000000" w:themeColor="text1"/>
          <w:sz w:val="21"/>
          <w:szCs w:val="21"/>
          <w14:textFill>
            <w14:solidFill>
              <w14:schemeClr w14:val="tx1"/>
            </w14:solidFill>
          </w14:textFill>
        </w:rPr>
      </w:pPr>
    </w:p>
    <w:p>
      <w:pPr>
        <w:pStyle w:val="2"/>
        <w:numPr>
          <w:ilvl w:val="0"/>
          <w:numId w:val="0"/>
        </w:numPr>
        <w:spacing w:line="579" w:lineRule="auto"/>
        <w:ind w:left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3.1.2</w:t>
      </w:r>
      <w:r>
        <w:rPr>
          <w:rFonts w:hint="eastAsia" w:ascii="宋体" w:hAnsi="宋体" w:eastAsia="宋体" w:cs="宋体"/>
          <w:color w:val="000000" w:themeColor="text1"/>
          <w:sz w:val="21"/>
          <w:szCs w:val="21"/>
          <w14:textFill>
            <w14:solidFill>
              <w14:schemeClr w14:val="tx1"/>
            </w14:solidFill>
          </w14:textFill>
        </w:rPr>
        <w:t>数据说明</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账单数据至少包含但不限于以下内容：</w:t>
      </w:r>
    </w:p>
    <w:p>
      <w:pPr>
        <w:pStyle w:val="48"/>
        <w:numPr>
          <w:ilvl w:val="0"/>
          <w:numId w:val="4"/>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汇总数</w:t>
      </w:r>
    </w:p>
    <w:p>
      <w:pPr>
        <w:pStyle w:val="48"/>
        <w:numPr>
          <w:ilvl w:val="0"/>
          <w:numId w:val="5"/>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总交易笔数、收款笔数、收款金额、退款笔数、退款金额</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二、明细字段</w:t>
      </w:r>
    </w:p>
    <w:tbl>
      <w:tblPr>
        <w:tblStyle w:val="19"/>
        <w:tblW w:w="8214" w:type="dxa"/>
        <w:tblInd w:w="0" w:type="dxa"/>
        <w:tblLayout w:type="fixed"/>
        <w:tblCellMar>
          <w:top w:w="15" w:type="dxa"/>
          <w:left w:w="15" w:type="dxa"/>
          <w:bottom w:w="15" w:type="dxa"/>
          <w:right w:w="15" w:type="dxa"/>
        </w:tblCellMar>
      </w:tblPr>
      <w:tblGrid>
        <w:gridCol w:w="1128"/>
        <w:gridCol w:w="2692"/>
        <w:gridCol w:w="4394"/>
      </w:tblGrid>
      <w:tr>
        <w:tblPrEx>
          <w:tblCellMar>
            <w:top w:w="15" w:type="dxa"/>
            <w:left w:w="15" w:type="dxa"/>
            <w:bottom w:w="15" w:type="dxa"/>
            <w:right w:w="15" w:type="dxa"/>
          </w:tblCellMar>
        </w:tblPrEx>
        <w:trPr>
          <w:trHeight w:val="495" w:hRule="atLeast"/>
        </w:trPr>
        <w:tc>
          <w:tcPr>
            <w:tcW w:w="1128" w:type="dxa"/>
            <w:tcBorders>
              <w:top w:val="single" w:color="D9D9D9" w:sz="6" w:space="0"/>
              <w:left w:val="single" w:color="D9D9D9" w:sz="6" w:space="0"/>
              <w:bottom w:val="single" w:color="D9D9D9" w:sz="6" w:space="0"/>
              <w:right w:val="single" w:color="D9D9D9" w:sz="6" w:space="0"/>
            </w:tcBorders>
            <w:shd w:val="clear" w:color="auto" w:fill="5B9BD5" w:themeFill="accent1"/>
            <w:tcMar>
              <w:top w:w="60" w:type="dxa"/>
              <w:left w:w="120" w:type="dxa"/>
              <w:bottom w:w="60" w:type="dxa"/>
              <w:right w:w="120" w:type="dxa"/>
            </w:tcMar>
            <w:vAlign w:val="center"/>
          </w:tcPr>
          <w:p>
            <w:pPr>
              <w:widowControl/>
              <w:spacing w:line="360" w:lineRule="auto"/>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序号</w:t>
            </w:r>
          </w:p>
        </w:tc>
        <w:tc>
          <w:tcPr>
            <w:tcW w:w="2692" w:type="dxa"/>
            <w:tcBorders>
              <w:top w:val="single" w:color="D9D9D9" w:sz="6" w:space="0"/>
              <w:left w:val="single" w:color="D9D9D9" w:sz="6" w:space="0"/>
              <w:bottom w:val="single" w:color="D9D9D9" w:sz="6" w:space="0"/>
              <w:right w:val="single" w:color="D9D9D9" w:sz="6" w:space="0"/>
            </w:tcBorders>
            <w:shd w:val="clear" w:color="auto" w:fill="5B9BD5" w:themeFill="accent1"/>
            <w:tcMar>
              <w:top w:w="60" w:type="dxa"/>
              <w:left w:w="120" w:type="dxa"/>
              <w:bottom w:w="60" w:type="dxa"/>
              <w:right w:w="120" w:type="dxa"/>
            </w:tcMar>
            <w:vAlign w:val="center"/>
          </w:tcPr>
          <w:p>
            <w:pPr>
              <w:widowControl/>
              <w:spacing w:line="360" w:lineRule="auto"/>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参数</w:t>
            </w:r>
          </w:p>
        </w:tc>
        <w:tc>
          <w:tcPr>
            <w:tcW w:w="4394" w:type="dxa"/>
            <w:tcBorders>
              <w:top w:val="single" w:color="D9D9D9" w:sz="6" w:space="0"/>
              <w:left w:val="single" w:color="D9D9D9" w:sz="6" w:space="0"/>
              <w:bottom w:val="single" w:color="D9D9D9" w:sz="6" w:space="0"/>
              <w:right w:val="single" w:color="D9D9D9" w:sz="6" w:space="0"/>
            </w:tcBorders>
            <w:shd w:val="clear" w:color="auto" w:fill="5B9BD5" w:themeFill="accent1"/>
            <w:tcMar>
              <w:top w:w="60" w:type="dxa"/>
              <w:left w:w="120" w:type="dxa"/>
              <w:bottom w:w="60" w:type="dxa"/>
              <w:right w:w="120" w:type="dxa"/>
            </w:tcMar>
            <w:vAlign w:val="center"/>
          </w:tcPr>
          <w:p>
            <w:pPr>
              <w:widowControl/>
              <w:spacing w:line="360" w:lineRule="auto"/>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说明</w:t>
            </w:r>
          </w:p>
        </w:tc>
      </w:tr>
      <w:tr>
        <w:tblPrEx>
          <w:tblCellMar>
            <w:top w:w="15" w:type="dxa"/>
            <w:left w:w="15" w:type="dxa"/>
            <w:bottom w:w="15" w:type="dxa"/>
            <w:right w:w="15" w:type="dxa"/>
          </w:tblCellMar>
        </w:tblPrEx>
        <w:trPr>
          <w:trHeight w:val="495" w:hRule="atLeast"/>
        </w:trPr>
        <w:tc>
          <w:tcPr>
            <w:tcW w:w="1128"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2692"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收单机构名称</w:t>
            </w:r>
          </w:p>
        </w:tc>
        <w:tc>
          <w:tcPr>
            <w:tcW w:w="4394"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必填</w:t>
            </w:r>
          </w:p>
        </w:tc>
      </w:tr>
      <w:tr>
        <w:tblPrEx>
          <w:tblCellMar>
            <w:top w:w="15" w:type="dxa"/>
            <w:left w:w="15" w:type="dxa"/>
            <w:bottom w:w="15" w:type="dxa"/>
            <w:right w:w="15" w:type="dxa"/>
          </w:tblCellMar>
        </w:tblPrEx>
        <w:trPr>
          <w:trHeight w:val="495" w:hRule="atLeast"/>
        </w:trPr>
        <w:tc>
          <w:tcPr>
            <w:tcW w:w="1128"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2692"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商户号</w:t>
            </w:r>
          </w:p>
        </w:tc>
        <w:tc>
          <w:tcPr>
            <w:tcW w:w="4394"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必填</w:t>
            </w:r>
          </w:p>
        </w:tc>
      </w:tr>
      <w:tr>
        <w:tblPrEx>
          <w:tblCellMar>
            <w:top w:w="15" w:type="dxa"/>
            <w:left w:w="15" w:type="dxa"/>
            <w:bottom w:w="15" w:type="dxa"/>
            <w:right w:w="15" w:type="dxa"/>
          </w:tblCellMar>
        </w:tblPrEx>
        <w:trPr>
          <w:trHeight w:val="495" w:hRule="atLeast"/>
        </w:trPr>
        <w:tc>
          <w:tcPr>
            <w:tcW w:w="1128"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2692"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商户名称</w:t>
            </w:r>
          </w:p>
        </w:tc>
        <w:tc>
          <w:tcPr>
            <w:tcW w:w="4394"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必填</w:t>
            </w:r>
          </w:p>
        </w:tc>
      </w:tr>
      <w:tr>
        <w:tblPrEx>
          <w:tblCellMar>
            <w:top w:w="15" w:type="dxa"/>
            <w:left w:w="15" w:type="dxa"/>
            <w:bottom w:w="15" w:type="dxa"/>
            <w:right w:w="15" w:type="dxa"/>
          </w:tblCellMar>
        </w:tblPrEx>
        <w:trPr>
          <w:trHeight w:val="495" w:hRule="atLeast"/>
        </w:trPr>
        <w:tc>
          <w:tcPr>
            <w:tcW w:w="1128"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p>
        </w:tc>
        <w:tc>
          <w:tcPr>
            <w:tcW w:w="2692"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终端编号</w:t>
            </w:r>
          </w:p>
        </w:tc>
        <w:tc>
          <w:tcPr>
            <w:tcW w:w="4394"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有终端设备时必填</w:t>
            </w:r>
          </w:p>
        </w:tc>
      </w:tr>
      <w:tr>
        <w:tblPrEx>
          <w:tblCellMar>
            <w:top w:w="15" w:type="dxa"/>
            <w:left w:w="15" w:type="dxa"/>
            <w:bottom w:w="15" w:type="dxa"/>
            <w:right w:w="15" w:type="dxa"/>
          </w:tblCellMar>
        </w:tblPrEx>
        <w:trPr>
          <w:trHeight w:val="495" w:hRule="atLeast"/>
        </w:trPr>
        <w:tc>
          <w:tcPr>
            <w:tcW w:w="1128"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w:t>
            </w:r>
          </w:p>
        </w:tc>
        <w:tc>
          <w:tcPr>
            <w:tcW w:w="2692"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交易方式</w:t>
            </w:r>
          </w:p>
        </w:tc>
        <w:tc>
          <w:tcPr>
            <w:tcW w:w="4394"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必填</w:t>
            </w:r>
          </w:p>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p>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银行卡</w:t>
            </w:r>
          </w:p>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社保卡（医保个账）</w:t>
            </w:r>
          </w:p>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医保电子凭证（医保个账）</w:t>
            </w:r>
          </w:p>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微信</w:t>
            </w:r>
          </w:p>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支付宝</w:t>
            </w:r>
          </w:p>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无感信用支付</w:t>
            </w:r>
          </w:p>
        </w:tc>
      </w:tr>
      <w:tr>
        <w:tblPrEx>
          <w:tblCellMar>
            <w:top w:w="15" w:type="dxa"/>
            <w:left w:w="15" w:type="dxa"/>
            <w:bottom w:w="15" w:type="dxa"/>
            <w:right w:w="15" w:type="dxa"/>
          </w:tblCellMar>
        </w:tblPrEx>
        <w:trPr>
          <w:trHeight w:val="495" w:hRule="atLeast"/>
        </w:trPr>
        <w:tc>
          <w:tcPr>
            <w:tcW w:w="1128"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w:t>
            </w:r>
          </w:p>
        </w:tc>
        <w:tc>
          <w:tcPr>
            <w:tcW w:w="2692"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系统参考号</w:t>
            </w:r>
          </w:p>
        </w:tc>
        <w:tc>
          <w:tcPr>
            <w:tcW w:w="4394"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刷卡交易必填</w:t>
            </w:r>
          </w:p>
        </w:tc>
      </w:tr>
      <w:tr>
        <w:tblPrEx>
          <w:tblCellMar>
            <w:top w:w="15" w:type="dxa"/>
            <w:left w:w="15" w:type="dxa"/>
            <w:bottom w:w="15" w:type="dxa"/>
            <w:right w:w="15" w:type="dxa"/>
          </w:tblCellMar>
        </w:tblPrEx>
        <w:trPr>
          <w:trHeight w:val="495" w:hRule="atLeast"/>
        </w:trPr>
        <w:tc>
          <w:tcPr>
            <w:tcW w:w="1128"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w:t>
            </w:r>
          </w:p>
        </w:tc>
        <w:tc>
          <w:tcPr>
            <w:tcW w:w="2692"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交易流水号</w:t>
            </w:r>
          </w:p>
        </w:tc>
        <w:tc>
          <w:tcPr>
            <w:tcW w:w="4394"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微信/支付宝/无感信用支付交易必填</w:t>
            </w:r>
          </w:p>
        </w:tc>
      </w:tr>
      <w:tr>
        <w:tblPrEx>
          <w:tblCellMar>
            <w:top w:w="15" w:type="dxa"/>
            <w:left w:w="15" w:type="dxa"/>
            <w:bottom w:w="15" w:type="dxa"/>
            <w:right w:w="15" w:type="dxa"/>
          </w:tblCellMar>
        </w:tblPrEx>
        <w:trPr>
          <w:trHeight w:val="495" w:hRule="atLeast"/>
        </w:trPr>
        <w:tc>
          <w:tcPr>
            <w:tcW w:w="1128"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2692"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商户流水号</w:t>
            </w:r>
          </w:p>
        </w:tc>
        <w:tc>
          <w:tcPr>
            <w:tcW w:w="4394"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必填</w:t>
            </w:r>
          </w:p>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商户支付/退款时上送的商户流水号</w:t>
            </w:r>
          </w:p>
        </w:tc>
      </w:tr>
      <w:tr>
        <w:tblPrEx>
          <w:tblCellMar>
            <w:top w:w="15" w:type="dxa"/>
            <w:left w:w="15" w:type="dxa"/>
            <w:bottom w:w="15" w:type="dxa"/>
            <w:right w:w="15" w:type="dxa"/>
          </w:tblCellMar>
        </w:tblPrEx>
        <w:trPr>
          <w:trHeight w:val="495" w:hRule="atLeast"/>
        </w:trPr>
        <w:tc>
          <w:tcPr>
            <w:tcW w:w="1128"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w:t>
            </w:r>
          </w:p>
        </w:tc>
        <w:tc>
          <w:tcPr>
            <w:tcW w:w="2692"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交易日期</w:t>
            </w:r>
          </w:p>
        </w:tc>
        <w:tc>
          <w:tcPr>
            <w:tcW w:w="4394"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必填</w:t>
            </w:r>
          </w:p>
        </w:tc>
      </w:tr>
      <w:tr>
        <w:tblPrEx>
          <w:tblCellMar>
            <w:top w:w="15" w:type="dxa"/>
            <w:left w:w="15" w:type="dxa"/>
            <w:bottom w:w="15" w:type="dxa"/>
            <w:right w:w="15" w:type="dxa"/>
          </w:tblCellMar>
        </w:tblPrEx>
        <w:trPr>
          <w:trHeight w:val="495" w:hRule="atLeast"/>
        </w:trPr>
        <w:tc>
          <w:tcPr>
            <w:tcW w:w="1128"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w:t>
            </w:r>
          </w:p>
        </w:tc>
        <w:tc>
          <w:tcPr>
            <w:tcW w:w="2692"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交易时间</w:t>
            </w:r>
          </w:p>
        </w:tc>
        <w:tc>
          <w:tcPr>
            <w:tcW w:w="4394"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必填</w:t>
            </w:r>
          </w:p>
        </w:tc>
      </w:tr>
      <w:tr>
        <w:tblPrEx>
          <w:tblCellMar>
            <w:top w:w="15" w:type="dxa"/>
            <w:left w:w="15" w:type="dxa"/>
            <w:bottom w:w="15" w:type="dxa"/>
            <w:right w:w="15" w:type="dxa"/>
          </w:tblCellMar>
        </w:tblPrEx>
        <w:trPr>
          <w:trHeight w:val="495" w:hRule="atLeast"/>
        </w:trPr>
        <w:tc>
          <w:tcPr>
            <w:tcW w:w="1128"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11</w:t>
            </w:r>
          </w:p>
        </w:tc>
        <w:tc>
          <w:tcPr>
            <w:tcW w:w="2692"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交易类型</w:t>
            </w:r>
          </w:p>
        </w:tc>
        <w:tc>
          <w:tcPr>
            <w:tcW w:w="4394"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必填</w:t>
            </w:r>
          </w:p>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（收款/退款）</w:t>
            </w:r>
          </w:p>
        </w:tc>
      </w:tr>
      <w:tr>
        <w:tblPrEx>
          <w:tblCellMar>
            <w:top w:w="15" w:type="dxa"/>
            <w:left w:w="15" w:type="dxa"/>
            <w:bottom w:w="15" w:type="dxa"/>
            <w:right w:w="15" w:type="dxa"/>
          </w:tblCellMar>
        </w:tblPrEx>
        <w:trPr>
          <w:trHeight w:val="90" w:hRule="atLeast"/>
        </w:trPr>
        <w:tc>
          <w:tcPr>
            <w:tcW w:w="1128"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w:t>
            </w:r>
          </w:p>
        </w:tc>
        <w:tc>
          <w:tcPr>
            <w:tcW w:w="2692"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交易金额</w:t>
            </w:r>
          </w:p>
        </w:tc>
        <w:tc>
          <w:tcPr>
            <w:tcW w:w="4394"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必填</w:t>
            </w:r>
          </w:p>
        </w:tc>
      </w:tr>
      <w:tr>
        <w:tblPrEx>
          <w:tblCellMar>
            <w:top w:w="15" w:type="dxa"/>
            <w:left w:w="15" w:type="dxa"/>
            <w:bottom w:w="15" w:type="dxa"/>
            <w:right w:w="15" w:type="dxa"/>
          </w:tblCellMar>
        </w:tblPrEx>
        <w:trPr>
          <w:trHeight w:val="495" w:hRule="atLeast"/>
        </w:trPr>
        <w:tc>
          <w:tcPr>
            <w:tcW w:w="1128"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13</w:t>
            </w:r>
          </w:p>
        </w:tc>
        <w:tc>
          <w:tcPr>
            <w:tcW w:w="2692"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银行账号（卡号）</w:t>
            </w:r>
          </w:p>
        </w:tc>
        <w:tc>
          <w:tcPr>
            <w:tcW w:w="4394"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刷卡交易必填</w:t>
            </w:r>
          </w:p>
        </w:tc>
      </w:tr>
      <w:tr>
        <w:tblPrEx>
          <w:tblCellMar>
            <w:top w:w="15" w:type="dxa"/>
            <w:left w:w="15" w:type="dxa"/>
            <w:bottom w:w="15" w:type="dxa"/>
            <w:right w:w="15" w:type="dxa"/>
          </w:tblCellMar>
        </w:tblPrEx>
        <w:trPr>
          <w:trHeight w:val="495" w:hRule="atLeast"/>
        </w:trPr>
        <w:tc>
          <w:tcPr>
            <w:tcW w:w="1128"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14</w:t>
            </w:r>
          </w:p>
        </w:tc>
        <w:tc>
          <w:tcPr>
            <w:tcW w:w="2692"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发卡行</w:t>
            </w:r>
          </w:p>
        </w:tc>
        <w:tc>
          <w:tcPr>
            <w:tcW w:w="4394"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刷卡交易必填</w:t>
            </w:r>
          </w:p>
        </w:tc>
      </w:tr>
      <w:tr>
        <w:tblPrEx>
          <w:tblCellMar>
            <w:top w:w="15" w:type="dxa"/>
            <w:left w:w="15" w:type="dxa"/>
            <w:bottom w:w="15" w:type="dxa"/>
            <w:right w:w="15" w:type="dxa"/>
          </w:tblCellMar>
        </w:tblPrEx>
        <w:trPr>
          <w:trHeight w:val="495" w:hRule="atLeast"/>
        </w:trPr>
        <w:tc>
          <w:tcPr>
            <w:tcW w:w="1128"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15</w:t>
            </w:r>
          </w:p>
        </w:tc>
        <w:tc>
          <w:tcPr>
            <w:tcW w:w="2692"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卡类别</w:t>
            </w:r>
          </w:p>
        </w:tc>
        <w:tc>
          <w:tcPr>
            <w:tcW w:w="4394"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刷卡交易选填</w:t>
            </w:r>
          </w:p>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（借记卡/贷记卡）</w:t>
            </w:r>
          </w:p>
        </w:tc>
      </w:tr>
      <w:tr>
        <w:tblPrEx>
          <w:tblCellMar>
            <w:top w:w="15" w:type="dxa"/>
            <w:left w:w="15" w:type="dxa"/>
            <w:bottom w:w="15" w:type="dxa"/>
            <w:right w:w="15" w:type="dxa"/>
          </w:tblCellMar>
        </w:tblPrEx>
        <w:trPr>
          <w:trHeight w:val="495" w:hRule="atLeast"/>
        </w:trPr>
        <w:tc>
          <w:tcPr>
            <w:tcW w:w="1128"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16</w:t>
            </w:r>
          </w:p>
        </w:tc>
        <w:tc>
          <w:tcPr>
            <w:tcW w:w="2692"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备注</w:t>
            </w:r>
          </w:p>
        </w:tc>
        <w:tc>
          <w:tcPr>
            <w:tcW w:w="4394"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bottom"/>
          </w:tcPr>
          <w:p>
            <w:pPr>
              <w:widowControl/>
              <w:spacing w:line="360" w:lineRule="auto"/>
              <w:jc w:val="left"/>
              <w:textAlignment w:val="bottom"/>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选填</w:t>
            </w:r>
          </w:p>
        </w:tc>
      </w:tr>
    </w:tbl>
    <w:p>
      <w:pPr>
        <w:rPr>
          <w:rFonts w:hint="eastAsia" w:ascii="宋体" w:hAnsi="宋体" w:eastAsia="宋体" w:cs="宋体"/>
          <w:color w:val="000000" w:themeColor="text1"/>
          <w:sz w:val="21"/>
          <w:szCs w:val="21"/>
          <w14:textFill>
            <w14:solidFill>
              <w14:schemeClr w14:val="tx1"/>
            </w14:solidFill>
          </w14:textFill>
        </w:rPr>
      </w:pPr>
    </w:p>
    <w:p>
      <w:pPr>
        <w:pStyle w:val="2"/>
        <w:numPr>
          <w:ilvl w:val="0"/>
          <w:numId w:val="0"/>
        </w:numPr>
        <w:spacing w:line="579" w:lineRule="auto"/>
        <w:ind w:left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3.1.3</w:t>
      </w:r>
      <w:r>
        <w:rPr>
          <w:rFonts w:hint="eastAsia" w:ascii="宋体" w:hAnsi="宋体" w:eastAsia="宋体" w:cs="宋体"/>
          <w:color w:val="000000" w:themeColor="text1"/>
          <w:sz w:val="21"/>
          <w:szCs w:val="21"/>
          <w14:textFill>
            <w14:solidFill>
              <w14:schemeClr w14:val="tx1"/>
            </w14:solidFill>
          </w14:textFill>
        </w:rPr>
        <w:t>格式说明</w:t>
      </w:r>
    </w:p>
    <w:p>
      <w:pPr>
        <w:widowControl/>
        <w:spacing w:line="360" w:lineRule="auto"/>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方式：</w:t>
      </w:r>
      <w:r>
        <w:rPr>
          <w:rFonts w:hint="eastAsia" w:ascii="宋体" w:hAnsi="宋体" w:eastAsia="宋体" w:cs="宋体"/>
          <w:color w:val="000000" w:themeColor="text1"/>
          <w:sz w:val="21"/>
          <w:szCs w:val="21"/>
          <w14:textFill>
            <w14:solidFill>
              <w14:schemeClr w14:val="tx1"/>
            </w14:solidFill>
          </w14:textFill>
        </w:rPr>
        <w:t>支持按日期、商户号实时查询交易对账单</w:t>
      </w:r>
    </w:p>
    <w:p>
      <w:pPr>
        <w:widowControl/>
        <w:spacing w:line="360" w:lineRule="auto"/>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--此方式需提供接口文档说明、接口地址及调用参数（含生产环境、测试环境）</w:t>
      </w:r>
    </w:p>
    <w:p>
      <w:pPr>
        <w:rPr>
          <w:rFonts w:hint="eastAsia" w:ascii="宋体" w:hAnsi="宋体" w:eastAsia="宋体" w:cs="宋体"/>
          <w:color w:val="000000" w:themeColor="text1"/>
          <w:sz w:val="21"/>
          <w:szCs w:val="21"/>
          <w14:textFill>
            <w14:solidFill>
              <w14:schemeClr w14:val="tx1"/>
            </w14:solidFill>
          </w14:textFill>
        </w:rPr>
      </w:pPr>
    </w:p>
    <w:p>
      <w:pPr>
        <w:pStyle w:val="2"/>
        <w:numPr>
          <w:ilvl w:val="0"/>
          <w:numId w:val="0"/>
        </w:numPr>
        <w:spacing w:line="579" w:lineRule="auto"/>
        <w:ind w:left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3.1.4扩展应用</w:t>
      </w:r>
      <w:r>
        <w:rPr>
          <w:rFonts w:hint="eastAsia" w:ascii="宋体" w:hAnsi="宋体" w:eastAsia="宋体" w:cs="宋体"/>
          <w:color w:val="000000" w:themeColor="text1"/>
          <w:sz w:val="21"/>
          <w:szCs w:val="21"/>
          <w14:textFill>
            <w14:solidFill>
              <w14:schemeClr w14:val="tx1"/>
            </w14:solidFill>
          </w14:textFill>
        </w:rPr>
        <w:t>说明</w:t>
      </w:r>
    </w:p>
    <w:p>
      <w:pPr>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根据未来业务发展，若有新增支付场景、支付方式和合作银行，需按相同要求字段提供账单数据</w:t>
      </w:r>
      <w:r>
        <w:rPr>
          <w:rFonts w:hint="eastAsia" w:ascii="宋体" w:hAnsi="宋体" w:eastAsia="宋体" w:cs="宋体"/>
          <w:color w:val="000000" w:themeColor="text1"/>
          <w:sz w:val="21"/>
          <w:szCs w:val="21"/>
          <w:lang w:eastAsia="zh-CN"/>
          <w14:textFill>
            <w14:solidFill>
              <w14:schemeClr w14:val="tx1"/>
            </w14:solidFill>
          </w14:textFill>
        </w:rPr>
        <w:t>，不再额外收费</w:t>
      </w:r>
      <w:r>
        <w:rPr>
          <w:rFonts w:hint="eastAsia" w:ascii="宋体" w:hAnsi="宋体" w:eastAsia="宋体" w:cs="宋体"/>
          <w:color w:val="000000" w:themeColor="text1"/>
          <w:sz w:val="21"/>
          <w:szCs w:val="21"/>
          <w14:textFill>
            <w14:solidFill>
              <w14:schemeClr w14:val="tx1"/>
            </w14:solidFill>
          </w14:textFill>
        </w:rPr>
        <w:t>。</w:t>
      </w:r>
    </w:p>
    <w:p>
      <w:pPr>
        <w:rPr>
          <w:sz w:val="32"/>
          <w:szCs w:val="32"/>
        </w:rPr>
      </w:pPr>
    </w:p>
    <w:p>
      <w:pPr>
        <w:pStyle w:val="2"/>
        <w:numPr>
          <w:ilvl w:val="0"/>
          <w:numId w:val="3"/>
        </w:numPr>
        <w:spacing w:before="0" w:after="0"/>
        <w:rPr>
          <w:rFonts w:ascii="宋体" w:hAnsi="宋体"/>
          <w:sz w:val="21"/>
          <w:szCs w:val="21"/>
        </w:rPr>
      </w:pPr>
      <w:r>
        <w:rPr>
          <w:rFonts w:hint="eastAsia" w:ascii="宋体" w:hAnsi="宋体"/>
          <w:sz w:val="32"/>
          <w:szCs w:val="32"/>
        </w:rPr>
        <w:t>项目工期</w:t>
      </w:r>
    </w:p>
    <w:p>
      <w:pPr>
        <w:numPr>
          <w:ilvl w:val="0"/>
          <w:numId w:val="6"/>
        </w:numPr>
        <w:tabs>
          <w:tab w:val="left" w:pos="420"/>
          <w:tab w:val="left" w:pos="780"/>
        </w:tabs>
        <w:spacing w:before="156" w:beforeLines="50" w:line="360" w:lineRule="auto"/>
        <w:outlineLvl w:val="0"/>
        <w:rPr>
          <w:rFonts w:hint="eastAsia" w:ascii="宋体" w:hAnsi="宋体" w:cs="宋体"/>
          <w:szCs w:val="21"/>
        </w:rPr>
      </w:pPr>
      <w:r>
        <w:rPr>
          <w:rFonts w:hint="eastAsia" w:ascii="宋体" w:hAnsi="宋体" w:cs="宋体"/>
          <w:szCs w:val="21"/>
        </w:rPr>
        <w:t>自合同签订日起，须在__</w:t>
      </w:r>
      <w:r>
        <w:rPr>
          <w:rFonts w:hint="eastAsia" w:ascii="宋体" w:hAnsi="宋体" w:cs="宋体"/>
          <w:szCs w:val="21"/>
          <w:lang w:val="en-US" w:eastAsia="zh-CN"/>
        </w:rPr>
        <w:t>5</w:t>
      </w:r>
      <w:r>
        <w:rPr>
          <w:rFonts w:hint="eastAsia" w:ascii="宋体" w:hAnsi="宋体" w:cs="宋体"/>
          <w:szCs w:val="21"/>
        </w:rPr>
        <w:t>___个工作日内对《用户需求说明书》进行补充、确认或提出意见。</w:t>
      </w:r>
    </w:p>
    <w:p>
      <w:pPr>
        <w:numPr>
          <w:ilvl w:val="0"/>
          <w:numId w:val="6"/>
        </w:numPr>
        <w:tabs>
          <w:tab w:val="left" w:pos="780"/>
        </w:tabs>
        <w:spacing w:before="156" w:beforeLines="50" w:line="360" w:lineRule="auto"/>
        <w:outlineLvl w:val="0"/>
        <w:rPr>
          <w:rFonts w:hint="eastAsia" w:ascii="宋体" w:hAnsi="宋体" w:cs="宋体"/>
          <w:szCs w:val="21"/>
        </w:rPr>
      </w:pPr>
      <w:r>
        <w:rPr>
          <w:rFonts w:hint="eastAsia" w:ascii="宋体" w:hAnsi="宋体" w:cs="宋体"/>
          <w:szCs w:val="21"/>
        </w:rPr>
        <w:t>对《用户需求说明书》提出意见后，院方组织进行用户需求调研，根据调研情况提供业务调研记录、现况分析、功能设计及说明，双方共同整理并在</w:t>
      </w:r>
      <w:r>
        <w:rPr>
          <w:rFonts w:hint="eastAsia" w:ascii="宋体" w:hAnsi="宋体" w:cs="宋体"/>
          <w:szCs w:val="21"/>
          <w:u w:val="single"/>
        </w:rPr>
        <w:t xml:space="preserve">   </w:t>
      </w:r>
      <w:r>
        <w:rPr>
          <w:rFonts w:hint="eastAsia" w:ascii="宋体" w:hAnsi="宋体" w:cs="宋体"/>
          <w:szCs w:val="21"/>
          <w:u w:val="single"/>
          <w:lang w:val="en-US" w:eastAsia="zh-CN"/>
        </w:rPr>
        <w:t>10</w:t>
      </w:r>
      <w:r>
        <w:rPr>
          <w:rFonts w:hint="eastAsia" w:ascii="宋体" w:hAnsi="宋体" w:cs="宋体"/>
          <w:szCs w:val="21"/>
          <w:u w:val="single"/>
        </w:rPr>
        <w:t xml:space="preserve"> </w:t>
      </w:r>
      <w:r>
        <w:rPr>
          <w:rFonts w:hint="eastAsia" w:ascii="宋体" w:hAnsi="宋体" w:cs="宋体"/>
          <w:szCs w:val="21"/>
        </w:rPr>
        <w:t>个工作日内确认《需求规格说明书》。</w:t>
      </w:r>
    </w:p>
    <w:p>
      <w:pPr>
        <w:numPr>
          <w:ilvl w:val="0"/>
          <w:numId w:val="6"/>
        </w:numPr>
        <w:tabs>
          <w:tab w:val="left" w:pos="780"/>
        </w:tabs>
        <w:spacing w:before="156" w:beforeLines="50" w:line="360" w:lineRule="auto"/>
        <w:outlineLvl w:val="0"/>
        <w:rPr>
          <w:rFonts w:hint="eastAsia" w:ascii="宋体" w:hAnsi="宋体" w:cs="宋体"/>
          <w:szCs w:val="21"/>
        </w:rPr>
      </w:pPr>
      <w:r>
        <w:rPr>
          <w:rFonts w:hint="eastAsia" w:ascii="宋体" w:hAnsi="宋体" w:cs="宋体"/>
          <w:szCs w:val="21"/>
        </w:rPr>
        <w:t>须在《需求规格说明书》确认后的___</w:t>
      </w:r>
      <w:r>
        <w:rPr>
          <w:rFonts w:hint="eastAsia" w:ascii="宋体" w:hAnsi="宋体" w:cs="宋体"/>
          <w:szCs w:val="21"/>
          <w:lang w:val="en-US" w:eastAsia="zh-CN"/>
        </w:rPr>
        <w:t>30</w:t>
      </w:r>
      <w:r>
        <w:rPr>
          <w:rFonts w:hint="eastAsia" w:ascii="宋体" w:hAnsi="宋体" w:cs="宋体"/>
          <w:szCs w:val="21"/>
        </w:rPr>
        <w:t>__个工作日内完成实施导入和保证系统正常工作。</w:t>
      </w:r>
    </w:p>
    <w:p>
      <w:pPr>
        <w:numPr>
          <w:ilvl w:val="0"/>
          <w:numId w:val="6"/>
        </w:numPr>
        <w:tabs>
          <w:tab w:val="left" w:pos="780"/>
        </w:tabs>
        <w:spacing w:before="156" w:beforeLines="50" w:line="360" w:lineRule="auto"/>
        <w:outlineLvl w:val="0"/>
        <w:rPr>
          <w:rFonts w:hint="eastAsia" w:ascii="宋体" w:hAnsi="宋体" w:cs="宋体"/>
          <w:szCs w:val="21"/>
        </w:rPr>
      </w:pPr>
      <w:r>
        <w:rPr>
          <w:rFonts w:hint="eastAsia" w:ascii="宋体" w:hAnsi="宋体" w:cs="宋体"/>
          <w:szCs w:val="21"/>
        </w:rPr>
        <w:t>完成软件实施，并根据院方提出的新需求完成修改后，系统运行__</w:t>
      </w:r>
      <w:r>
        <w:rPr>
          <w:rFonts w:hint="eastAsia" w:ascii="宋体" w:hAnsi="宋体" w:cs="宋体"/>
          <w:szCs w:val="21"/>
          <w:lang w:val="en-US" w:eastAsia="zh-CN"/>
        </w:rPr>
        <w:t>1</w:t>
      </w:r>
      <w:r>
        <w:rPr>
          <w:rFonts w:hint="eastAsia" w:ascii="宋体" w:hAnsi="宋体" w:cs="宋体"/>
          <w:szCs w:val="21"/>
        </w:rPr>
        <w:t>___个月以上无软件故障出现，则向院方申请验收。</w:t>
      </w:r>
    </w:p>
    <w:p>
      <w:pPr>
        <w:rPr>
          <w:lang w:val="zh-CN" w:eastAsia="zh-CN"/>
        </w:rPr>
      </w:pPr>
    </w:p>
    <w:p>
      <w:pPr>
        <w:rPr>
          <w:rFonts w:hint="eastAsia"/>
          <w:lang w:eastAsia="zh-CN"/>
        </w:rPr>
      </w:pPr>
    </w:p>
    <w:p>
      <w:pPr>
        <w:pStyle w:val="2"/>
        <w:numPr>
          <w:ilvl w:val="0"/>
          <w:numId w:val="3"/>
        </w:numPr>
        <w:spacing w:before="0" w:after="0"/>
        <w:rPr>
          <w:rFonts w:ascii="宋体" w:hAnsi="宋体"/>
          <w:color w:val="FF0000"/>
          <w:sz w:val="32"/>
          <w:szCs w:val="32"/>
        </w:rPr>
      </w:pPr>
      <w:r>
        <w:rPr>
          <w:rFonts w:hint="eastAsia" w:ascii="宋体" w:hAnsi="宋体"/>
          <w:sz w:val="32"/>
          <w:szCs w:val="32"/>
        </w:rPr>
        <w:t>后续维护服务</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软件维护期从合同标的验收合格之日算起，期限为</w:t>
      </w:r>
      <w:r>
        <w:rPr>
          <w:rFonts w:ascii="宋体" w:hAnsi="宋体" w:cs="宋体"/>
          <w:szCs w:val="21"/>
          <w:u w:val="single"/>
        </w:rPr>
        <w:t xml:space="preserve">  </w:t>
      </w:r>
      <w:r>
        <w:rPr>
          <w:rFonts w:hint="eastAsia" w:ascii="宋体" w:hAnsi="宋体" w:cs="宋体"/>
          <w:szCs w:val="21"/>
          <w:u w:val="single"/>
          <w:lang w:val="en-US" w:eastAsia="zh-CN"/>
        </w:rPr>
        <w:t>24</w:t>
      </w:r>
      <w:r>
        <w:rPr>
          <w:rFonts w:ascii="宋体" w:hAnsi="宋体" w:cs="宋体"/>
          <w:szCs w:val="21"/>
          <w:u w:val="single"/>
        </w:rPr>
        <w:t xml:space="preserve">   </w:t>
      </w:r>
      <w:r>
        <w:rPr>
          <w:rFonts w:hint="eastAsia" w:ascii="宋体" w:hAnsi="宋体" w:cs="宋体"/>
          <w:szCs w:val="21"/>
        </w:rPr>
        <w:t>个月。在维护期内，承建商提供技术支持和指导，以及软件的局部改进完善以及故障情况下的现场问题解决。</w:t>
      </w:r>
    </w:p>
    <w:p>
      <w:pPr>
        <w:tabs>
          <w:tab w:val="left" w:pos="780"/>
        </w:tabs>
        <w:spacing w:before="156" w:beforeLines="50" w:line="360" w:lineRule="auto"/>
        <w:ind w:firstLine="420" w:firstLineChars="200"/>
        <w:outlineLvl w:val="0"/>
        <w:rPr>
          <w:rFonts w:hint="eastAsia" w:ascii="宋体" w:hAnsi="宋体" w:cs="宋体"/>
          <w:szCs w:val="21"/>
        </w:rPr>
      </w:pPr>
      <w:r>
        <w:rPr>
          <w:rFonts w:hint="eastAsia" w:ascii="宋体" w:hAnsi="宋体" w:cs="宋体"/>
          <w:szCs w:val="21"/>
        </w:rPr>
        <w:t>维保期内承建商为院方提供维护及服务的部门及固定的专职技术人员。承建商提供专职工程师</w:t>
      </w:r>
      <w:r>
        <w:rPr>
          <w:rFonts w:ascii="宋体" w:hAnsi="宋体" w:cs="宋体"/>
          <w:szCs w:val="21"/>
          <w:u w:val="single"/>
        </w:rPr>
        <w:t xml:space="preserve">   </w:t>
      </w:r>
      <w:r>
        <w:rPr>
          <w:rFonts w:hint="eastAsia" w:ascii="宋体" w:hAnsi="宋体" w:cs="宋体"/>
          <w:szCs w:val="21"/>
        </w:rPr>
        <w:t>名驻扎本院，工作时间与院方工作时间一致，并且提供7*24小时响应服务。</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在维护期结束前，须由承建商和院方进行一次全面检查，任何缺陷必须由承建商负责修复，在修复之后，承建商应将缺陷原因、修复内容、完成修理及恢复正常的时间和日期等报告给院方，形成项目总结报告。</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超过维护期的，双方另行协商签订维护合同，服务方报价不超过合同软件部分金额的8%。</w:t>
      </w:r>
    </w:p>
    <w:p>
      <w:pPr>
        <w:pStyle w:val="2"/>
        <w:numPr>
          <w:ilvl w:val="0"/>
          <w:numId w:val="3"/>
        </w:numPr>
        <w:spacing w:before="0" w:after="0"/>
        <w:rPr>
          <w:rFonts w:ascii="宋体" w:hAnsi="宋体"/>
          <w:color w:val="FF0000"/>
          <w:sz w:val="32"/>
          <w:szCs w:val="32"/>
        </w:rPr>
      </w:pPr>
      <w:r>
        <w:rPr>
          <w:rFonts w:hint="eastAsia" w:ascii="宋体" w:hAnsi="宋体"/>
          <w:sz w:val="32"/>
          <w:szCs w:val="32"/>
        </w:rPr>
        <w:t>合同款支付方式</w:t>
      </w:r>
    </w:p>
    <w:p>
      <w:pPr>
        <w:spacing w:line="360" w:lineRule="auto"/>
        <w:ind w:firstLine="630" w:firstLineChars="300"/>
        <w:rPr>
          <w:rFonts w:hint="eastAsia" w:ascii="宋体" w:hAnsi="宋体" w:cs="宋体"/>
          <w:szCs w:val="21"/>
        </w:rPr>
      </w:pPr>
      <w:r>
        <w:rPr>
          <w:rFonts w:hint="eastAsia" w:ascii="宋体" w:hAnsi="宋体" w:cs="宋体"/>
          <w:szCs w:val="21"/>
        </w:rPr>
        <w:t>(一)合同签订后，在收到承建商开具相应金额正式发票后，支付合同总金额的30%。</w:t>
      </w:r>
    </w:p>
    <w:p>
      <w:pPr>
        <w:spacing w:line="360" w:lineRule="auto"/>
        <w:ind w:firstLine="630" w:firstLineChars="300"/>
        <w:rPr>
          <w:rFonts w:hint="eastAsia" w:ascii="宋体" w:hAnsi="宋体" w:cs="宋体"/>
          <w:szCs w:val="21"/>
        </w:rPr>
      </w:pPr>
      <w:r>
        <w:rPr>
          <w:rFonts w:hint="eastAsia" w:ascii="宋体" w:hAnsi="宋体" w:cs="宋体"/>
          <w:szCs w:val="21"/>
        </w:rPr>
        <w:t>(二)软件验收通过后，在收到承建商开具相应金额正式发票后，支付合同总金额的65%。</w:t>
      </w:r>
    </w:p>
    <w:p>
      <w:pPr>
        <w:spacing w:line="360" w:lineRule="auto"/>
        <w:ind w:firstLine="630" w:firstLineChars="300"/>
        <w:rPr>
          <w:rFonts w:hint="eastAsia" w:ascii="宋体" w:hAnsi="宋体" w:cs="宋体"/>
          <w:szCs w:val="21"/>
        </w:rPr>
      </w:pPr>
      <w:r>
        <w:rPr>
          <w:rFonts w:hint="eastAsia" w:ascii="宋体" w:hAnsi="宋体" w:cs="宋体"/>
          <w:szCs w:val="21"/>
        </w:rPr>
        <w:t>(三)免费维护期结束后，由院方对承建商在服务期内应完成任务进行确认并通过后1个月内，支付最后一笔尾款。</w:t>
      </w: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eastAsia="zh-CN"/>
      </w:rPr>
      <w:t>1</w:t>
    </w:r>
    <w:r>
      <w:rPr>
        <w:caps/>
        <w:color w:val="5B9BD5"/>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152B2"/>
    <w:multiLevelType w:val="multilevel"/>
    <w:tmpl w:val="13E152B2"/>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3EBB3C91"/>
    <w:multiLevelType w:val="multilevel"/>
    <w:tmpl w:val="3EBB3C91"/>
    <w:lvl w:ilvl="0" w:tentative="0">
      <w:start w:val="1"/>
      <w:numFmt w:val="decimal"/>
      <w:pStyle w:val="57"/>
      <w:lvlText w:val="%1. "/>
      <w:lvlJc w:val="left"/>
      <w:pPr>
        <w:ind w:left="420" w:hanging="420"/>
      </w:pPr>
      <w:rPr>
        <w:rFonts w:hint="default" w:ascii="Times New Roman" w:hAnsi="Times New Roman" w:eastAsia="宋体"/>
        <w:b/>
        <w:i w:val="0"/>
      </w:rPr>
    </w:lvl>
    <w:lvl w:ilvl="1" w:tentative="0">
      <w:start w:val="1"/>
      <w:numFmt w:val="decimal"/>
      <w:pStyle w:val="50"/>
      <w:isLgl/>
      <w:suff w:val="space"/>
      <w:lvlText w:val="%1.%2 "/>
      <w:lvlJc w:val="left"/>
      <w:pPr>
        <w:ind w:left="3913" w:hanging="794"/>
      </w:pPr>
      <w:rPr>
        <w:rFonts w:hint="eastAsia"/>
      </w:rPr>
    </w:lvl>
    <w:lvl w:ilvl="2" w:tentative="0">
      <w:start w:val="1"/>
      <w:numFmt w:val="decimal"/>
      <w:pStyle w:val="56"/>
      <w:isLgl/>
      <w:suff w:val="space"/>
      <w:lvlText w:val="%1.%2.%3 "/>
      <w:lvlJc w:val="left"/>
      <w:pPr>
        <w:ind w:left="907" w:hanging="907"/>
      </w:pPr>
      <w:rPr>
        <w:rFonts w:hint="eastAsia"/>
      </w:rPr>
    </w:lvl>
    <w:lvl w:ilvl="3" w:tentative="0">
      <w:start w:val="1"/>
      <w:numFmt w:val="decimal"/>
      <w:pStyle w:val="55"/>
      <w:isLgl/>
      <w:suff w:val="space"/>
      <w:lvlText w:val="%1.%2.%3.%4 "/>
      <w:lvlJc w:val="left"/>
      <w:pPr>
        <w:ind w:left="1021" w:hanging="1021"/>
      </w:pPr>
      <w:rPr>
        <w:rFonts w:hint="eastAsia"/>
      </w:rPr>
    </w:lvl>
    <w:lvl w:ilvl="4" w:tentative="0">
      <w:start w:val="1"/>
      <w:numFmt w:val="decimal"/>
      <w:pStyle w:val="60"/>
      <w:isLgl/>
      <w:suff w:val="space"/>
      <w:lvlText w:val="%1.%2.%3.%4.%5 "/>
      <w:lvlJc w:val="left"/>
      <w:pPr>
        <w:ind w:left="1134" w:hanging="1134"/>
      </w:pPr>
      <w:rPr>
        <w:rFonts w:hint="eastAsia"/>
      </w:rPr>
    </w:lvl>
    <w:lvl w:ilvl="5" w:tentative="0">
      <w:start w:val="1"/>
      <w:numFmt w:val="decimal"/>
      <w:pStyle w:val="54"/>
      <w:isLgl/>
      <w:suff w:val="space"/>
      <w:lvlText w:val="%1.%2.%3.%4.%5.%6 "/>
      <w:lvlJc w:val="left"/>
      <w:pPr>
        <w:ind w:left="1247" w:hanging="1247"/>
      </w:pPr>
      <w:rPr>
        <w:rFonts w:hint="eastAsia"/>
      </w:rPr>
    </w:lvl>
    <w:lvl w:ilvl="6" w:tentative="0">
      <w:start w:val="1"/>
      <w:numFmt w:val="decimal"/>
      <w:lvlRestart w:val="1"/>
      <w:pStyle w:val="49"/>
      <w:isLgl/>
      <w:suff w:val="space"/>
      <w:lvlText w:val="图 %1.%7 "/>
      <w:lvlJc w:val="left"/>
      <w:pPr>
        <w:ind w:left="0" w:firstLine="0"/>
      </w:pPr>
      <w:rPr>
        <w:rFonts w:hint="eastAsia"/>
      </w:rPr>
    </w:lvl>
    <w:lvl w:ilvl="7" w:tentative="0">
      <w:start w:val="1"/>
      <w:numFmt w:val="decimal"/>
      <w:lvlRestart w:val="1"/>
      <w:pStyle w:val="59"/>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6B5F78DA"/>
    <w:multiLevelType w:val="multilevel"/>
    <w:tmpl w:val="6B5F78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8B051EF"/>
    <w:multiLevelType w:val="multilevel"/>
    <w:tmpl w:val="78B051EF"/>
    <w:lvl w:ilvl="0" w:tentative="0">
      <w:start w:val="1"/>
      <w:numFmt w:val="japaneseCounting"/>
      <w:lvlText w:val="%1、"/>
      <w:lvlJc w:val="left"/>
      <w:pPr>
        <w:ind w:left="560" w:hanging="5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wYWQ1ODhhZDZkZmEzODgwMWZiOGE2MmFjYWE3ODAifQ=="/>
  </w:docVars>
  <w:rsids>
    <w:rsidRoot w:val="00303343"/>
    <w:rsid w:val="000051D2"/>
    <w:rsid w:val="000079DD"/>
    <w:rsid w:val="00012DCC"/>
    <w:rsid w:val="00016B63"/>
    <w:rsid w:val="00042DAC"/>
    <w:rsid w:val="0004334E"/>
    <w:rsid w:val="00046B39"/>
    <w:rsid w:val="00054706"/>
    <w:rsid w:val="00066DE7"/>
    <w:rsid w:val="00074EDD"/>
    <w:rsid w:val="000757C1"/>
    <w:rsid w:val="00086AE0"/>
    <w:rsid w:val="0009064D"/>
    <w:rsid w:val="00090A18"/>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3AB3"/>
    <w:rsid w:val="00156B1F"/>
    <w:rsid w:val="00162D29"/>
    <w:rsid w:val="00164878"/>
    <w:rsid w:val="00165091"/>
    <w:rsid w:val="00171903"/>
    <w:rsid w:val="0018200C"/>
    <w:rsid w:val="001833B6"/>
    <w:rsid w:val="00190CD2"/>
    <w:rsid w:val="00194BFE"/>
    <w:rsid w:val="001A22A1"/>
    <w:rsid w:val="001B4850"/>
    <w:rsid w:val="001B7966"/>
    <w:rsid w:val="001B7D79"/>
    <w:rsid w:val="001C23B3"/>
    <w:rsid w:val="001C7BC6"/>
    <w:rsid w:val="001D4A68"/>
    <w:rsid w:val="001D7749"/>
    <w:rsid w:val="001E3B38"/>
    <w:rsid w:val="00200054"/>
    <w:rsid w:val="002000DE"/>
    <w:rsid w:val="00202EFF"/>
    <w:rsid w:val="0020509F"/>
    <w:rsid w:val="00207A96"/>
    <w:rsid w:val="00214A6F"/>
    <w:rsid w:val="00221F1F"/>
    <w:rsid w:val="00223E47"/>
    <w:rsid w:val="00241D77"/>
    <w:rsid w:val="002509F5"/>
    <w:rsid w:val="002535AA"/>
    <w:rsid w:val="00261CBC"/>
    <w:rsid w:val="00265DE7"/>
    <w:rsid w:val="00270260"/>
    <w:rsid w:val="002722CA"/>
    <w:rsid w:val="002834D3"/>
    <w:rsid w:val="002853BF"/>
    <w:rsid w:val="00292528"/>
    <w:rsid w:val="002A01D6"/>
    <w:rsid w:val="002A4778"/>
    <w:rsid w:val="002C53D1"/>
    <w:rsid w:val="002D6BE1"/>
    <w:rsid w:val="002F31F1"/>
    <w:rsid w:val="003024F8"/>
    <w:rsid w:val="00303343"/>
    <w:rsid w:val="00303CAB"/>
    <w:rsid w:val="003042A2"/>
    <w:rsid w:val="00304636"/>
    <w:rsid w:val="00311322"/>
    <w:rsid w:val="00314487"/>
    <w:rsid w:val="00314A5A"/>
    <w:rsid w:val="00322973"/>
    <w:rsid w:val="003325F0"/>
    <w:rsid w:val="00341038"/>
    <w:rsid w:val="00352E7C"/>
    <w:rsid w:val="00353276"/>
    <w:rsid w:val="00360458"/>
    <w:rsid w:val="00366980"/>
    <w:rsid w:val="00370A5D"/>
    <w:rsid w:val="003802E2"/>
    <w:rsid w:val="00385E95"/>
    <w:rsid w:val="00385FED"/>
    <w:rsid w:val="00397B7E"/>
    <w:rsid w:val="003A7269"/>
    <w:rsid w:val="003C0FB7"/>
    <w:rsid w:val="003C6D81"/>
    <w:rsid w:val="003D0F80"/>
    <w:rsid w:val="003D2595"/>
    <w:rsid w:val="003E7083"/>
    <w:rsid w:val="003F3286"/>
    <w:rsid w:val="003F629F"/>
    <w:rsid w:val="00403938"/>
    <w:rsid w:val="00413DA3"/>
    <w:rsid w:val="00414171"/>
    <w:rsid w:val="0041787F"/>
    <w:rsid w:val="00423450"/>
    <w:rsid w:val="0042702D"/>
    <w:rsid w:val="00435C81"/>
    <w:rsid w:val="0044060A"/>
    <w:rsid w:val="00440F72"/>
    <w:rsid w:val="004565AA"/>
    <w:rsid w:val="00456A2C"/>
    <w:rsid w:val="004630DC"/>
    <w:rsid w:val="00474AE0"/>
    <w:rsid w:val="0047796F"/>
    <w:rsid w:val="00482931"/>
    <w:rsid w:val="00495574"/>
    <w:rsid w:val="004A44FF"/>
    <w:rsid w:val="004C2C5B"/>
    <w:rsid w:val="004E2D8F"/>
    <w:rsid w:val="004E5E61"/>
    <w:rsid w:val="004F1410"/>
    <w:rsid w:val="00500264"/>
    <w:rsid w:val="00510B1E"/>
    <w:rsid w:val="005120A9"/>
    <w:rsid w:val="00517D7C"/>
    <w:rsid w:val="00520646"/>
    <w:rsid w:val="0052176F"/>
    <w:rsid w:val="0052604B"/>
    <w:rsid w:val="0053088D"/>
    <w:rsid w:val="00534BF6"/>
    <w:rsid w:val="00537CDE"/>
    <w:rsid w:val="005409FC"/>
    <w:rsid w:val="005563D3"/>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D3A60"/>
    <w:rsid w:val="005E7C53"/>
    <w:rsid w:val="005F0356"/>
    <w:rsid w:val="005F73BC"/>
    <w:rsid w:val="00600923"/>
    <w:rsid w:val="006053FC"/>
    <w:rsid w:val="00612F3F"/>
    <w:rsid w:val="00620E68"/>
    <w:rsid w:val="00623637"/>
    <w:rsid w:val="006279C6"/>
    <w:rsid w:val="00644F1D"/>
    <w:rsid w:val="00646B59"/>
    <w:rsid w:val="006604C2"/>
    <w:rsid w:val="006861F5"/>
    <w:rsid w:val="00697FBB"/>
    <w:rsid w:val="006B2085"/>
    <w:rsid w:val="006B21B8"/>
    <w:rsid w:val="006B7B58"/>
    <w:rsid w:val="006C36EB"/>
    <w:rsid w:val="006D4B15"/>
    <w:rsid w:val="006D59F7"/>
    <w:rsid w:val="006E5E07"/>
    <w:rsid w:val="006F0434"/>
    <w:rsid w:val="00701D12"/>
    <w:rsid w:val="0070239F"/>
    <w:rsid w:val="0072309C"/>
    <w:rsid w:val="0072695B"/>
    <w:rsid w:val="0074224C"/>
    <w:rsid w:val="00750A70"/>
    <w:rsid w:val="00752912"/>
    <w:rsid w:val="007556BE"/>
    <w:rsid w:val="007621CC"/>
    <w:rsid w:val="0076668A"/>
    <w:rsid w:val="00784C08"/>
    <w:rsid w:val="00785EDF"/>
    <w:rsid w:val="00786A29"/>
    <w:rsid w:val="00795F59"/>
    <w:rsid w:val="007C0A5B"/>
    <w:rsid w:val="007D22AB"/>
    <w:rsid w:val="007E71E6"/>
    <w:rsid w:val="007F5726"/>
    <w:rsid w:val="008168FB"/>
    <w:rsid w:val="00822BA6"/>
    <w:rsid w:val="008419E9"/>
    <w:rsid w:val="008548FB"/>
    <w:rsid w:val="008623FD"/>
    <w:rsid w:val="00866774"/>
    <w:rsid w:val="00873B97"/>
    <w:rsid w:val="008A62AC"/>
    <w:rsid w:val="008B2206"/>
    <w:rsid w:val="008C255D"/>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5C23"/>
    <w:rsid w:val="00927E08"/>
    <w:rsid w:val="009303FA"/>
    <w:rsid w:val="00941F0C"/>
    <w:rsid w:val="00943004"/>
    <w:rsid w:val="00966A88"/>
    <w:rsid w:val="00973A47"/>
    <w:rsid w:val="00981ED8"/>
    <w:rsid w:val="009822C7"/>
    <w:rsid w:val="00982AA3"/>
    <w:rsid w:val="009863EF"/>
    <w:rsid w:val="00986A41"/>
    <w:rsid w:val="0098719A"/>
    <w:rsid w:val="00991FF2"/>
    <w:rsid w:val="0099315B"/>
    <w:rsid w:val="00995DD9"/>
    <w:rsid w:val="009B4476"/>
    <w:rsid w:val="009C1F02"/>
    <w:rsid w:val="009C3783"/>
    <w:rsid w:val="009C4E7E"/>
    <w:rsid w:val="009D6951"/>
    <w:rsid w:val="009D7DD1"/>
    <w:rsid w:val="009E0351"/>
    <w:rsid w:val="009E214B"/>
    <w:rsid w:val="009E53AF"/>
    <w:rsid w:val="009F0270"/>
    <w:rsid w:val="009F61FA"/>
    <w:rsid w:val="00A05796"/>
    <w:rsid w:val="00A13CB0"/>
    <w:rsid w:val="00A14FD8"/>
    <w:rsid w:val="00A22CA1"/>
    <w:rsid w:val="00A4595D"/>
    <w:rsid w:val="00A51146"/>
    <w:rsid w:val="00A61D3A"/>
    <w:rsid w:val="00A66833"/>
    <w:rsid w:val="00A70DCF"/>
    <w:rsid w:val="00A72437"/>
    <w:rsid w:val="00A73FDF"/>
    <w:rsid w:val="00A824B9"/>
    <w:rsid w:val="00A870DD"/>
    <w:rsid w:val="00A96157"/>
    <w:rsid w:val="00A969AF"/>
    <w:rsid w:val="00A9729E"/>
    <w:rsid w:val="00AA1F69"/>
    <w:rsid w:val="00AB348F"/>
    <w:rsid w:val="00AB7D36"/>
    <w:rsid w:val="00AC1390"/>
    <w:rsid w:val="00AC4663"/>
    <w:rsid w:val="00AE1DD2"/>
    <w:rsid w:val="00AE4106"/>
    <w:rsid w:val="00B12138"/>
    <w:rsid w:val="00B17749"/>
    <w:rsid w:val="00B17AE9"/>
    <w:rsid w:val="00B17C05"/>
    <w:rsid w:val="00B20334"/>
    <w:rsid w:val="00B20819"/>
    <w:rsid w:val="00B225B9"/>
    <w:rsid w:val="00B24AB1"/>
    <w:rsid w:val="00B36BD9"/>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A5A2D"/>
    <w:rsid w:val="00BA5B8F"/>
    <w:rsid w:val="00BB2B54"/>
    <w:rsid w:val="00BC3CA1"/>
    <w:rsid w:val="00BC49E5"/>
    <w:rsid w:val="00BC6DB1"/>
    <w:rsid w:val="00BD3194"/>
    <w:rsid w:val="00BD5FA8"/>
    <w:rsid w:val="00BE23E5"/>
    <w:rsid w:val="00BE31E6"/>
    <w:rsid w:val="00BF757E"/>
    <w:rsid w:val="00BF7C0E"/>
    <w:rsid w:val="00BF7F5A"/>
    <w:rsid w:val="00C17719"/>
    <w:rsid w:val="00C20730"/>
    <w:rsid w:val="00C2470A"/>
    <w:rsid w:val="00C335D8"/>
    <w:rsid w:val="00C50E12"/>
    <w:rsid w:val="00C54491"/>
    <w:rsid w:val="00C71B43"/>
    <w:rsid w:val="00C74D8F"/>
    <w:rsid w:val="00C751A9"/>
    <w:rsid w:val="00C766DD"/>
    <w:rsid w:val="00C76BDF"/>
    <w:rsid w:val="00C775CE"/>
    <w:rsid w:val="00C8030E"/>
    <w:rsid w:val="00C91697"/>
    <w:rsid w:val="00C92EAA"/>
    <w:rsid w:val="00CA148F"/>
    <w:rsid w:val="00CA29F9"/>
    <w:rsid w:val="00CB6B73"/>
    <w:rsid w:val="00CC218D"/>
    <w:rsid w:val="00CC6334"/>
    <w:rsid w:val="00CC677A"/>
    <w:rsid w:val="00CD008E"/>
    <w:rsid w:val="00CD49B4"/>
    <w:rsid w:val="00CD6EDC"/>
    <w:rsid w:val="00CE2D1F"/>
    <w:rsid w:val="00CF1561"/>
    <w:rsid w:val="00CF1A40"/>
    <w:rsid w:val="00CF36EF"/>
    <w:rsid w:val="00CF4AE2"/>
    <w:rsid w:val="00D1110F"/>
    <w:rsid w:val="00D15B10"/>
    <w:rsid w:val="00D23E20"/>
    <w:rsid w:val="00D30FA6"/>
    <w:rsid w:val="00D32842"/>
    <w:rsid w:val="00D407EB"/>
    <w:rsid w:val="00D454AB"/>
    <w:rsid w:val="00D536AB"/>
    <w:rsid w:val="00D54E0C"/>
    <w:rsid w:val="00D5537A"/>
    <w:rsid w:val="00D71136"/>
    <w:rsid w:val="00D77F36"/>
    <w:rsid w:val="00D9057D"/>
    <w:rsid w:val="00DA026E"/>
    <w:rsid w:val="00DA576E"/>
    <w:rsid w:val="00DB0A86"/>
    <w:rsid w:val="00DB57B7"/>
    <w:rsid w:val="00DC33CF"/>
    <w:rsid w:val="00DC3415"/>
    <w:rsid w:val="00DD3DE6"/>
    <w:rsid w:val="00DE4534"/>
    <w:rsid w:val="00DF3D3A"/>
    <w:rsid w:val="00DF4228"/>
    <w:rsid w:val="00E06670"/>
    <w:rsid w:val="00E17266"/>
    <w:rsid w:val="00E47752"/>
    <w:rsid w:val="00E53030"/>
    <w:rsid w:val="00E56652"/>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6408"/>
    <w:rsid w:val="00EC0483"/>
    <w:rsid w:val="00EC33A4"/>
    <w:rsid w:val="00ED0897"/>
    <w:rsid w:val="00ED73FF"/>
    <w:rsid w:val="00ED7F01"/>
    <w:rsid w:val="00EE4612"/>
    <w:rsid w:val="00EE51DE"/>
    <w:rsid w:val="00EE609F"/>
    <w:rsid w:val="00EF5E01"/>
    <w:rsid w:val="00EF6EC0"/>
    <w:rsid w:val="00F02058"/>
    <w:rsid w:val="00F0343C"/>
    <w:rsid w:val="00F04CE5"/>
    <w:rsid w:val="00F13514"/>
    <w:rsid w:val="00F1360F"/>
    <w:rsid w:val="00F16AA8"/>
    <w:rsid w:val="00F21791"/>
    <w:rsid w:val="00F3226A"/>
    <w:rsid w:val="00F33DB0"/>
    <w:rsid w:val="00F45DB8"/>
    <w:rsid w:val="00F54D29"/>
    <w:rsid w:val="00F62BCD"/>
    <w:rsid w:val="00F74B77"/>
    <w:rsid w:val="00F764FE"/>
    <w:rsid w:val="00F80625"/>
    <w:rsid w:val="00F827B6"/>
    <w:rsid w:val="00F92BE5"/>
    <w:rsid w:val="00FA0574"/>
    <w:rsid w:val="00FB68D3"/>
    <w:rsid w:val="00FC4B75"/>
    <w:rsid w:val="00FE7554"/>
    <w:rsid w:val="00FF17FE"/>
    <w:rsid w:val="42200080"/>
    <w:rsid w:val="488C513A"/>
    <w:rsid w:val="77E13482"/>
    <w:rsid w:val="7EF05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numPr>
        <w:ilvl w:val="0"/>
        <w:numId w:val="1"/>
      </w:numPr>
      <w:spacing w:before="340" w:after="330" w:line="578" w:lineRule="auto"/>
      <w:outlineLvl w:val="0"/>
    </w:pPr>
    <w:rPr>
      <w:b/>
      <w:bCs/>
      <w:kern w:val="44"/>
      <w:sz w:val="44"/>
      <w:szCs w:val="44"/>
      <w:lang w:val="zh-CN" w:eastAsia="zh-CN"/>
    </w:rPr>
  </w:style>
  <w:style w:type="paragraph" w:styleId="3">
    <w:name w:val="heading 2"/>
    <w:basedOn w:val="1"/>
    <w:next w:val="1"/>
    <w:link w:val="25"/>
    <w:qFormat/>
    <w:uiPriority w:val="0"/>
    <w:pPr>
      <w:keepNext/>
      <w:keepLines/>
      <w:spacing w:before="260" w:after="260" w:line="416" w:lineRule="auto"/>
      <w:outlineLvl w:val="1"/>
    </w:pPr>
    <w:rPr>
      <w:rFonts w:ascii="等线 Light" w:hAnsi="等线 Light" w:eastAsia="等线 Light"/>
      <w:b/>
      <w:bCs/>
      <w:sz w:val="32"/>
      <w:szCs w:val="32"/>
      <w:lang w:val="zh-CN" w:eastAsia="zh-CN"/>
    </w:rPr>
  </w:style>
  <w:style w:type="paragraph" w:styleId="4">
    <w:name w:val="heading 3"/>
    <w:basedOn w:val="1"/>
    <w:next w:val="1"/>
    <w:link w:val="26"/>
    <w:qFormat/>
    <w:uiPriority w:val="0"/>
    <w:pPr>
      <w:keepNext/>
      <w:keepLines/>
      <w:spacing w:before="260" w:after="260" w:line="416" w:lineRule="auto"/>
      <w:outlineLvl w:val="2"/>
    </w:pPr>
    <w:rPr>
      <w:b/>
      <w:bCs/>
      <w:sz w:val="30"/>
      <w:szCs w:val="30"/>
      <w:lang w:val="zh-CN" w:eastAsia="zh-CN"/>
    </w:rPr>
  </w:style>
  <w:style w:type="paragraph" w:styleId="5">
    <w:name w:val="heading 4"/>
    <w:basedOn w:val="1"/>
    <w:next w:val="1"/>
    <w:link w:val="27"/>
    <w:qFormat/>
    <w:uiPriority w:val="0"/>
    <w:pPr>
      <w:keepNext/>
      <w:keepLines/>
      <w:numPr>
        <w:ilvl w:val="3"/>
        <w:numId w:val="1"/>
      </w:numPr>
      <w:spacing w:before="280" w:after="290" w:line="376" w:lineRule="auto"/>
      <w:outlineLvl w:val="3"/>
    </w:pPr>
    <w:rPr>
      <w:rFonts w:ascii="宋体" w:hAnsi="宋体"/>
      <w:b/>
      <w:bCs/>
      <w:sz w:val="28"/>
      <w:szCs w:val="28"/>
      <w:lang w:val="zh-CN" w:eastAsia="zh-CN"/>
    </w:rPr>
  </w:style>
  <w:style w:type="paragraph" w:styleId="6">
    <w:name w:val="heading 5"/>
    <w:basedOn w:val="1"/>
    <w:next w:val="1"/>
    <w:link w:val="28"/>
    <w:qFormat/>
    <w:uiPriority w:val="0"/>
    <w:pPr>
      <w:keepNext/>
      <w:keepLines/>
      <w:numPr>
        <w:ilvl w:val="4"/>
        <w:numId w:val="1"/>
      </w:numPr>
      <w:spacing w:before="280" w:after="290" w:line="376" w:lineRule="auto"/>
      <w:outlineLvl w:val="4"/>
    </w:pPr>
    <w:rPr>
      <w:b/>
      <w:bCs/>
      <w:sz w:val="28"/>
      <w:szCs w:val="28"/>
      <w:lang w:val="zh-CN" w:eastAsia="zh-CN"/>
    </w:rPr>
  </w:style>
  <w:style w:type="paragraph" w:styleId="7">
    <w:name w:val="heading 6"/>
    <w:basedOn w:val="1"/>
    <w:next w:val="1"/>
    <w:link w:val="29"/>
    <w:qFormat/>
    <w:uiPriority w:val="0"/>
    <w:pPr>
      <w:keepNext/>
      <w:keepLines/>
      <w:numPr>
        <w:ilvl w:val="5"/>
        <w:numId w:val="1"/>
      </w:numPr>
      <w:spacing w:before="240" w:after="64" w:line="320" w:lineRule="auto"/>
      <w:outlineLvl w:val="5"/>
    </w:pPr>
    <w:rPr>
      <w:rFonts w:ascii="等线 Light" w:hAnsi="等线 Light" w:eastAsia="等线 Light"/>
      <w:b/>
      <w:bCs/>
      <w:sz w:val="24"/>
      <w:lang w:val="zh-CN" w:eastAsia="zh-CN"/>
    </w:rPr>
  </w:style>
  <w:style w:type="paragraph" w:styleId="8">
    <w:name w:val="heading 7"/>
    <w:basedOn w:val="1"/>
    <w:next w:val="1"/>
    <w:link w:val="30"/>
    <w:qFormat/>
    <w:uiPriority w:val="0"/>
    <w:pPr>
      <w:keepNext/>
      <w:keepLines/>
      <w:numPr>
        <w:ilvl w:val="6"/>
        <w:numId w:val="1"/>
      </w:numPr>
      <w:spacing w:before="240" w:after="64" w:line="320" w:lineRule="auto"/>
      <w:outlineLvl w:val="6"/>
    </w:pPr>
    <w:rPr>
      <w:b/>
      <w:bCs/>
      <w:sz w:val="24"/>
      <w:lang w:val="zh-CN" w:eastAsia="zh-CN"/>
    </w:rPr>
  </w:style>
  <w:style w:type="paragraph" w:styleId="9">
    <w:name w:val="heading 8"/>
    <w:basedOn w:val="1"/>
    <w:next w:val="1"/>
    <w:link w:val="31"/>
    <w:qFormat/>
    <w:uiPriority w:val="0"/>
    <w:pPr>
      <w:keepNext/>
      <w:keepLines/>
      <w:numPr>
        <w:ilvl w:val="7"/>
        <w:numId w:val="1"/>
      </w:numPr>
      <w:spacing w:before="240" w:after="64" w:line="320" w:lineRule="auto"/>
      <w:outlineLvl w:val="7"/>
    </w:pPr>
    <w:rPr>
      <w:rFonts w:ascii="等线 Light" w:hAnsi="等线 Light" w:eastAsia="等线 Light"/>
      <w:sz w:val="24"/>
      <w:lang w:val="zh-CN" w:eastAsia="zh-CN"/>
    </w:rPr>
  </w:style>
  <w:style w:type="paragraph" w:styleId="10">
    <w:name w:val="heading 9"/>
    <w:basedOn w:val="1"/>
    <w:next w:val="1"/>
    <w:link w:val="32"/>
    <w:qFormat/>
    <w:uiPriority w:val="0"/>
    <w:pPr>
      <w:keepNext/>
      <w:keepLines/>
      <w:numPr>
        <w:ilvl w:val="8"/>
        <w:numId w:val="1"/>
      </w:numPr>
      <w:spacing w:before="240" w:after="64" w:line="320" w:lineRule="auto"/>
      <w:outlineLvl w:val="8"/>
    </w:pPr>
    <w:rPr>
      <w:rFonts w:ascii="等线 Light" w:hAnsi="等线 Light" w:eastAsia="等线 Light"/>
      <w:szCs w:val="21"/>
      <w:lang w:val="zh-CN" w:eastAsia="zh-CN"/>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11">
    <w:name w:val="Normal Indent"/>
    <w:basedOn w:val="1"/>
    <w:link w:val="33"/>
    <w:qFormat/>
    <w:uiPriority w:val="99"/>
    <w:pPr>
      <w:spacing w:before="120" w:beforeLines="50" w:line="360" w:lineRule="auto"/>
      <w:ind w:firstLine="512" w:firstLineChars="200"/>
    </w:pPr>
    <w:rPr>
      <w:spacing w:val="8"/>
      <w:sz w:val="24"/>
      <w:szCs w:val="20"/>
      <w:lang w:val="en-US" w:eastAsia="zh-CN"/>
    </w:rPr>
  </w:style>
  <w:style w:type="paragraph" w:styleId="12">
    <w:name w:val="annotation text"/>
    <w:basedOn w:val="1"/>
    <w:link w:val="34"/>
    <w:unhideWhenUsed/>
    <w:qFormat/>
    <w:uiPriority w:val="0"/>
    <w:pPr>
      <w:jc w:val="left"/>
    </w:pPr>
    <w:rPr>
      <w:kern w:val="0"/>
      <w:sz w:val="20"/>
      <w:lang w:val="zh-CN" w:eastAsia="zh-CN"/>
    </w:rPr>
  </w:style>
  <w:style w:type="paragraph" w:styleId="13">
    <w:name w:val="Plain Text"/>
    <w:basedOn w:val="1"/>
    <w:link w:val="35"/>
    <w:uiPriority w:val="0"/>
    <w:rPr>
      <w:rFonts w:ascii="Calibri" w:hAnsi="Courier New"/>
      <w:szCs w:val="20"/>
      <w:lang w:val="zh-CN" w:eastAsia="zh-CN"/>
    </w:rPr>
  </w:style>
  <w:style w:type="paragraph" w:styleId="14">
    <w:name w:val="Balloon Text"/>
    <w:basedOn w:val="1"/>
    <w:link w:val="36"/>
    <w:qFormat/>
    <w:uiPriority w:val="0"/>
    <w:rPr>
      <w:sz w:val="18"/>
      <w:szCs w:val="18"/>
      <w:lang w:val="zh-CN" w:eastAsia="zh-CN"/>
    </w:rPr>
  </w:style>
  <w:style w:type="paragraph" w:styleId="15">
    <w:name w:val="footer"/>
    <w:basedOn w:val="1"/>
    <w:link w:val="37"/>
    <w:qFormat/>
    <w:uiPriority w:val="0"/>
    <w:pPr>
      <w:tabs>
        <w:tab w:val="center" w:pos="4153"/>
        <w:tab w:val="right" w:pos="8306"/>
      </w:tabs>
      <w:snapToGrid w:val="0"/>
      <w:jc w:val="left"/>
    </w:pPr>
    <w:rPr>
      <w:sz w:val="18"/>
      <w:szCs w:val="18"/>
      <w:lang w:val="zh-CN" w:eastAsia="zh-CN"/>
    </w:rPr>
  </w:style>
  <w:style w:type="paragraph" w:styleId="16">
    <w:name w:val="header"/>
    <w:basedOn w:val="1"/>
    <w:link w:val="38"/>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7">
    <w:name w:val="Subtitle"/>
    <w:basedOn w:val="1"/>
    <w:next w:val="1"/>
    <w:link w:val="63"/>
    <w:qFormat/>
    <w:uiPriority w:val="0"/>
    <w:pPr>
      <w:spacing w:before="240" w:beforeLines="50" w:after="60" w:line="312" w:lineRule="auto"/>
      <w:ind w:firstLine="200" w:firstLineChars="200"/>
      <w:jc w:val="center"/>
      <w:outlineLvl w:val="1"/>
    </w:pPr>
    <w:rPr>
      <w:rFonts w:ascii="Cambria" w:hAnsi="Cambria"/>
      <w:b/>
      <w:bCs/>
      <w:kern w:val="28"/>
      <w:sz w:val="32"/>
      <w:szCs w:val="32"/>
      <w:lang w:eastAsia="en-US"/>
    </w:rPr>
  </w:style>
  <w:style w:type="paragraph" w:styleId="18">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20">
    <w:name w:val="Table Grid"/>
    <w:basedOn w:val="1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Hyperlink"/>
    <w:qFormat/>
    <w:uiPriority w:val="0"/>
    <w:rPr>
      <w:color w:val="0563C1"/>
      <w:u w:val="single"/>
    </w:rPr>
  </w:style>
  <w:style w:type="character" w:styleId="23">
    <w:name w:val="annotation reference"/>
    <w:unhideWhenUsed/>
    <w:qFormat/>
    <w:uiPriority w:val="99"/>
    <w:rPr>
      <w:sz w:val="21"/>
      <w:szCs w:val="21"/>
    </w:rPr>
  </w:style>
  <w:style w:type="character" w:customStyle="1" w:styleId="24">
    <w:name w:val="标题 1 Char"/>
    <w:link w:val="2"/>
    <w:uiPriority w:val="0"/>
    <w:rPr>
      <w:b/>
      <w:bCs/>
      <w:kern w:val="44"/>
      <w:sz w:val="44"/>
      <w:szCs w:val="44"/>
      <w:lang w:val="zh-CN" w:eastAsia="zh-CN"/>
    </w:rPr>
  </w:style>
  <w:style w:type="character" w:customStyle="1" w:styleId="25">
    <w:name w:val="标题 2 Char"/>
    <w:link w:val="3"/>
    <w:qFormat/>
    <w:uiPriority w:val="0"/>
    <w:rPr>
      <w:rFonts w:ascii="等线 Light" w:hAnsi="等线 Light" w:eastAsia="等线 Light" w:cs="Times New Roman"/>
      <w:b/>
      <w:bCs/>
      <w:kern w:val="2"/>
      <w:sz w:val="32"/>
      <w:szCs w:val="32"/>
    </w:rPr>
  </w:style>
  <w:style w:type="character" w:customStyle="1" w:styleId="26">
    <w:name w:val="标题 3 Char"/>
    <w:link w:val="4"/>
    <w:qFormat/>
    <w:uiPriority w:val="0"/>
    <w:rPr>
      <w:b/>
      <w:bCs/>
      <w:kern w:val="2"/>
      <w:sz w:val="30"/>
      <w:szCs w:val="30"/>
    </w:rPr>
  </w:style>
  <w:style w:type="character" w:customStyle="1" w:styleId="27">
    <w:name w:val="标题 4 Char"/>
    <w:link w:val="5"/>
    <w:qFormat/>
    <w:uiPriority w:val="0"/>
    <w:rPr>
      <w:rFonts w:ascii="宋体" w:hAnsi="宋体"/>
      <w:b/>
      <w:bCs/>
      <w:kern w:val="2"/>
      <w:sz w:val="28"/>
      <w:szCs w:val="28"/>
    </w:rPr>
  </w:style>
  <w:style w:type="character" w:customStyle="1" w:styleId="28">
    <w:name w:val="标题 5 Char"/>
    <w:link w:val="6"/>
    <w:qFormat/>
    <w:uiPriority w:val="0"/>
    <w:rPr>
      <w:b/>
      <w:bCs/>
      <w:kern w:val="2"/>
      <w:sz w:val="28"/>
      <w:szCs w:val="28"/>
    </w:rPr>
  </w:style>
  <w:style w:type="character" w:customStyle="1" w:styleId="29">
    <w:name w:val="标题 6 Char"/>
    <w:link w:val="7"/>
    <w:semiHidden/>
    <w:qFormat/>
    <w:uiPriority w:val="0"/>
    <w:rPr>
      <w:rFonts w:ascii="等线 Light" w:hAnsi="等线 Light" w:eastAsia="等线 Light"/>
      <w:b/>
      <w:bCs/>
      <w:kern w:val="2"/>
      <w:sz w:val="24"/>
      <w:szCs w:val="24"/>
    </w:rPr>
  </w:style>
  <w:style w:type="character" w:customStyle="1" w:styleId="30">
    <w:name w:val="标题 7 Char"/>
    <w:link w:val="8"/>
    <w:semiHidden/>
    <w:qFormat/>
    <w:uiPriority w:val="0"/>
    <w:rPr>
      <w:b/>
      <w:bCs/>
      <w:kern w:val="2"/>
      <w:sz w:val="24"/>
      <w:szCs w:val="24"/>
    </w:rPr>
  </w:style>
  <w:style w:type="character" w:customStyle="1" w:styleId="31">
    <w:name w:val="标题 8 Char"/>
    <w:link w:val="9"/>
    <w:semiHidden/>
    <w:qFormat/>
    <w:uiPriority w:val="0"/>
    <w:rPr>
      <w:rFonts w:ascii="等线 Light" w:hAnsi="等线 Light" w:eastAsia="等线 Light"/>
      <w:kern w:val="2"/>
      <w:sz w:val="24"/>
      <w:szCs w:val="24"/>
    </w:rPr>
  </w:style>
  <w:style w:type="character" w:customStyle="1" w:styleId="32">
    <w:name w:val="标题 9 Char"/>
    <w:link w:val="10"/>
    <w:semiHidden/>
    <w:qFormat/>
    <w:uiPriority w:val="0"/>
    <w:rPr>
      <w:rFonts w:ascii="等线 Light" w:hAnsi="等线 Light" w:eastAsia="等线 Light"/>
      <w:kern w:val="2"/>
      <w:sz w:val="21"/>
      <w:szCs w:val="21"/>
    </w:rPr>
  </w:style>
  <w:style w:type="character" w:customStyle="1" w:styleId="33">
    <w:name w:val="正文缩进 Char"/>
    <w:link w:val="11"/>
    <w:qFormat/>
    <w:uiPriority w:val="99"/>
    <w:rPr>
      <w:spacing w:val="8"/>
      <w:kern w:val="2"/>
      <w:sz w:val="24"/>
      <w:lang w:val="en-US" w:eastAsia="zh-CN"/>
    </w:rPr>
  </w:style>
  <w:style w:type="character" w:customStyle="1" w:styleId="34">
    <w:name w:val="批注文字 Char"/>
    <w:link w:val="12"/>
    <w:uiPriority w:val="0"/>
    <w:rPr>
      <w:szCs w:val="24"/>
    </w:rPr>
  </w:style>
  <w:style w:type="character" w:customStyle="1" w:styleId="35">
    <w:name w:val="纯文本 Char"/>
    <w:link w:val="13"/>
    <w:uiPriority w:val="0"/>
    <w:rPr>
      <w:rFonts w:ascii="Calibri" w:hAnsi="Courier New"/>
      <w:kern w:val="2"/>
      <w:sz w:val="21"/>
    </w:rPr>
  </w:style>
  <w:style w:type="character" w:customStyle="1" w:styleId="36">
    <w:name w:val="批注框文本 Char"/>
    <w:link w:val="14"/>
    <w:uiPriority w:val="0"/>
    <w:rPr>
      <w:kern w:val="2"/>
      <w:sz w:val="18"/>
      <w:szCs w:val="18"/>
    </w:rPr>
  </w:style>
  <w:style w:type="character" w:customStyle="1" w:styleId="37">
    <w:name w:val="页脚 Char"/>
    <w:link w:val="15"/>
    <w:uiPriority w:val="0"/>
    <w:rPr>
      <w:kern w:val="2"/>
      <w:sz w:val="18"/>
      <w:szCs w:val="18"/>
    </w:rPr>
  </w:style>
  <w:style w:type="character" w:customStyle="1" w:styleId="38">
    <w:name w:val="页眉 Char"/>
    <w:link w:val="16"/>
    <w:qFormat/>
    <w:uiPriority w:val="0"/>
    <w:rPr>
      <w:kern w:val="2"/>
      <w:sz w:val="18"/>
      <w:szCs w:val="18"/>
    </w:rPr>
  </w:style>
  <w:style w:type="character" w:customStyle="1" w:styleId="39">
    <w:name w:val="已访问的超链接1"/>
    <w:qFormat/>
    <w:uiPriority w:val="0"/>
    <w:rPr>
      <w:color w:val="800080"/>
      <w:u w:val="single"/>
    </w:rPr>
  </w:style>
  <w:style w:type="character" w:customStyle="1" w:styleId="40">
    <w:name w:val="正文（首行缩进2字符） Char"/>
    <w:link w:val="41"/>
    <w:qFormat/>
    <w:uiPriority w:val="0"/>
    <w:rPr>
      <w:kern w:val="2"/>
      <w:sz w:val="24"/>
      <w:szCs w:val="24"/>
    </w:rPr>
  </w:style>
  <w:style w:type="paragraph" w:customStyle="1" w:styleId="41">
    <w:name w:val="正文（首行缩进2字符）"/>
    <w:basedOn w:val="1"/>
    <w:link w:val="40"/>
    <w:qFormat/>
    <w:uiPriority w:val="0"/>
    <w:pPr>
      <w:spacing w:line="360" w:lineRule="auto"/>
      <w:ind w:firstLine="480" w:firstLineChars="200"/>
    </w:pPr>
    <w:rPr>
      <w:sz w:val="24"/>
      <w:lang w:val="zh-CN" w:eastAsia="zh-CN"/>
    </w:rPr>
  </w:style>
  <w:style w:type="character" w:customStyle="1" w:styleId="42">
    <w:name w:val="段落 Char1"/>
    <w:link w:val="43"/>
    <w:qFormat/>
    <w:uiPriority w:val="0"/>
    <w:rPr>
      <w:rFonts w:eastAsia="仿宋_GB2312"/>
      <w:sz w:val="24"/>
      <w:szCs w:val="24"/>
      <w:lang w:val="en-US" w:eastAsia="zh-CN" w:bidi="ar-SA"/>
    </w:rPr>
  </w:style>
  <w:style w:type="paragraph" w:customStyle="1" w:styleId="43">
    <w:name w:val="段落"/>
    <w:link w:val="42"/>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4">
    <w:name w:val="正文（安华金和） Char"/>
    <w:link w:val="45"/>
    <w:qFormat/>
    <w:uiPriority w:val="0"/>
    <w:rPr>
      <w:rFonts w:ascii="Arial" w:hAnsi="Arial"/>
      <w:sz w:val="21"/>
      <w:szCs w:val="21"/>
      <w:lang w:val="en-US" w:eastAsia="zh-CN" w:bidi="ar-SA"/>
    </w:rPr>
  </w:style>
  <w:style w:type="paragraph" w:customStyle="1" w:styleId="45">
    <w:name w:val="正文（安华金和）"/>
    <w:link w:val="44"/>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6">
    <w:name w:val="页脚 字符"/>
    <w:qFormat/>
    <w:uiPriority w:val="99"/>
  </w:style>
  <w:style w:type="character" w:customStyle="1" w:styleId="47">
    <w:name w:val="列出段落 Char"/>
    <w:link w:val="48"/>
    <w:qFormat/>
    <w:uiPriority w:val="34"/>
    <w:rPr>
      <w:rFonts w:ascii="等线" w:hAnsi="等线" w:eastAsia="等线"/>
      <w:kern w:val="2"/>
      <w:sz w:val="21"/>
      <w:szCs w:val="22"/>
    </w:rPr>
  </w:style>
  <w:style w:type="paragraph" w:styleId="48">
    <w:name w:val="List Paragraph"/>
    <w:basedOn w:val="1"/>
    <w:link w:val="47"/>
    <w:qFormat/>
    <w:uiPriority w:val="34"/>
    <w:pPr>
      <w:ind w:firstLine="420" w:firstLineChars="200"/>
    </w:pPr>
    <w:rPr>
      <w:rFonts w:ascii="等线" w:hAnsi="等线" w:eastAsia="等线"/>
      <w:szCs w:val="22"/>
      <w:lang w:val="zh-CN" w:eastAsia="zh-CN"/>
    </w:rPr>
  </w:style>
  <w:style w:type="paragraph" w:customStyle="1" w:styleId="49">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0">
    <w:name w:val="标题 2（DBSec）"/>
    <w:basedOn w:val="3"/>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1">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2">
    <w:name w:val="_Style 27"/>
    <w:basedOn w:val="1"/>
    <w:next w:val="48"/>
    <w:qFormat/>
    <w:uiPriority w:val="34"/>
    <w:pPr>
      <w:widowControl/>
      <w:spacing w:line="240" w:lineRule="atLeast"/>
      <w:ind w:firstLine="420" w:firstLineChars="200"/>
    </w:pPr>
    <w:rPr>
      <w:rFonts w:ascii="Arial" w:hAnsi="Arial"/>
      <w:kern w:val="0"/>
      <w:szCs w:val="21"/>
    </w:rPr>
  </w:style>
  <w:style w:type="paragraph" w:customStyle="1" w:styleId="53">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4">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5">
    <w:name w:val="标题 4（DBSec）"/>
    <w:basedOn w:val="5"/>
    <w:next w:val="1"/>
    <w:qFormat/>
    <w:uiPriority w:val="0"/>
    <w:pPr>
      <w:widowControl/>
      <w:numPr>
        <w:numId w:val="2"/>
      </w:numPr>
      <w:spacing w:after="156"/>
      <w:ind w:leftChars="200"/>
      <w:jc w:val="left"/>
    </w:pPr>
    <w:rPr>
      <w:rFonts w:ascii="Arial" w:hAnsi="Arial" w:eastAsia="黑体"/>
      <w:bCs w:val="0"/>
      <w:kern w:val="0"/>
    </w:rPr>
  </w:style>
  <w:style w:type="paragraph" w:customStyle="1" w:styleId="56">
    <w:name w:val="标题 3（DBSec）"/>
    <w:basedOn w:val="4"/>
    <w:next w:val="1"/>
    <w:qFormat/>
    <w:uiPriority w:val="0"/>
    <w:pPr>
      <w:numPr>
        <w:ilvl w:val="2"/>
        <w:numId w:val="2"/>
      </w:numPr>
      <w:tabs>
        <w:tab w:val="left" w:pos="960"/>
      </w:tabs>
      <w:spacing w:line="415" w:lineRule="auto"/>
      <w:ind w:leftChars="200"/>
      <w:jc w:val="left"/>
    </w:pPr>
    <w:rPr>
      <w:rFonts w:ascii="Arial" w:hAnsi="Arial" w:eastAsia="黑体"/>
      <w:bCs w:val="0"/>
      <w:kern w:val="0"/>
    </w:rPr>
  </w:style>
  <w:style w:type="paragraph" w:customStyle="1" w:styleId="57">
    <w:name w:val="标题 1（DBSec）"/>
    <w:basedOn w:val="2"/>
    <w:next w:val="1"/>
    <w:qFormat/>
    <w:uiPriority w:val="0"/>
    <w:pPr>
      <w:pageBreakBefore/>
      <w:numPr>
        <w:numId w:val="2"/>
      </w:numPr>
      <w:pBdr>
        <w:bottom w:val="single" w:color="auto" w:sz="48" w:space="1"/>
      </w:pBdr>
      <w:spacing w:before="600" w:line="576" w:lineRule="auto"/>
      <w:ind w:leftChars="200"/>
      <w:jc w:val="left"/>
    </w:pPr>
    <w:rPr>
      <w:rFonts w:ascii="Arial" w:hAnsi="Arial" w:eastAsia="黑体"/>
      <w:lang w:val="en-US" w:eastAsia="zh-CN"/>
    </w:rPr>
  </w:style>
  <w:style w:type="paragraph" w:customStyle="1" w:styleId="58">
    <w:name w:val="彩色列表 - 着色 11"/>
    <w:basedOn w:val="1"/>
    <w:qFormat/>
    <w:uiPriority w:val="34"/>
    <w:pPr>
      <w:spacing w:line="360" w:lineRule="auto"/>
      <w:ind w:firstLine="420" w:firstLineChars="200"/>
    </w:pPr>
    <w:rPr>
      <w:rFonts w:ascii="Arial" w:hAnsi="Arial"/>
      <w:szCs w:val="21"/>
    </w:rPr>
  </w:style>
  <w:style w:type="paragraph" w:customStyle="1" w:styleId="59">
    <w:name w:val="表格标注（安华金和）"/>
    <w:basedOn w:val="49"/>
    <w:next w:val="1"/>
    <w:qFormat/>
    <w:uiPriority w:val="0"/>
    <w:pPr>
      <w:numPr>
        <w:ilvl w:val="7"/>
      </w:numPr>
    </w:pPr>
  </w:style>
  <w:style w:type="paragraph" w:customStyle="1" w:styleId="60">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1">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2">
    <w:name w:val="批注文字 字符"/>
    <w:qFormat/>
    <w:uiPriority w:val="99"/>
    <w:rPr>
      <w:kern w:val="2"/>
      <w:sz w:val="21"/>
      <w:szCs w:val="24"/>
    </w:rPr>
  </w:style>
  <w:style w:type="character" w:customStyle="1" w:styleId="63">
    <w:name w:val="副标题 字符"/>
    <w:link w:val="17"/>
    <w:uiPriority w:val="0"/>
    <w:rPr>
      <w:rFonts w:ascii="Cambria" w:hAnsi="Cambria"/>
      <w:b/>
      <w:bCs/>
      <w:kern w:val="28"/>
      <w:sz w:val="32"/>
      <w:szCs w:val="3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1284</Words>
  <Characters>1336</Characters>
  <Lines>10</Lines>
  <Paragraphs>2</Paragraphs>
  <TotalTime>29</TotalTime>
  <ScaleCrop>false</ScaleCrop>
  <LinksUpToDate>false</LinksUpToDate>
  <CharactersWithSpaces>1348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2022-01-06T02:42:00Z</dcterms:created>
  <dc:creator>陈永辉</dc:creator>
  <cp:lastModifiedBy>刘亮</cp:lastModifiedBy>
  <dcterms:modified xsi:type="dcterms:W3CDTF">2023-05-22T06:30:48Z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2047A09A69D643A4B4A152C80A0CCC99_13</vt:lpwstr>
  </property>
</Properties>
</file>