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2" w:afterLines="100" w:line="360" w:lineRule="auto"/>
        <w:jc w:val="center"/>
        <w:textAlignment w:val="auto"/>
        <w:rPr>
          <w:rFonts w:ascii="宋体" w:hAnsi="宋体"/>
          <w:b/>
          <w:sz w:val="44"/>
          <w:szCs w:val="30"/>
        </w:rPr>
      </w:pPr>
      <w:bookmarkStart w:id="6" w:name="_GoBack"/>
      <w:bookmarkEnd w:id="6"/>
      <w:r>
        <w:rPr>
          <w:rFonts w:hint="eastAsia" w:ascii="宋体" w:hAnsi="宋体" w:cs="Times New Roman"/>
          <w:b/>
          <w:sz w:val="44"/>
          <w:szCs w:val="30"/>
        </w:rPr>
        <w:t>虚拟病区</w:t>
      </w:r>
      <w:r>
        <w:rPr>
          <w:rFonts w:hint="eastAsia" w:ascii="宋体" w:hAnsi="宋体" w:cs="Times New Roman"/>
          <w:b/>
          <w:sz w:val="44"/>
          <w:szCs w:val="30"/>
          <w:lang w:val="en-US" w:eastAsia="zh-CN"/>
        </w:rPr>
        <w:t>管理系统项目</w:t>
      </w:r>
      <w:r>
        <w:rPr>
          <w:rFonts w:hint="eastAsia" w:ascii="宋体" w:hAnsi="宋体"/>
          <w:b/>
          <w:sz w:val="44"/>
          <w:szCs w:val="30"/>
        </w:rPr>
        <w:t>需求</w:t>
      </w:r>
    </w:p>
    <w:p>
      <w:pPr>
        <w:pStyle w:val="2"/>
        <w:numPr>
          <w:ilvl w:val="0"/>
          <w:numId w:val="3"/>
        </w:numPr>
        <w:spacing w:before="0" w:after="0"/>
        <w:rPr>
          <w:rFonts w:ascii="宋体" w:hAnsi="宋体"/>
          <w:sz w:val="32"/>
          <w:szCs w:val="32"/>
        </w:rPr>
      </w:pPr>
      <w:r>
        <w:rPr>
          <w:rFonts w:hint="eastAsia" w:ascii="宋体" w:hAnsi="宋体"/>
          <w:sz w:val="32"/>
          <w:szCs w:val="32"/>
        </w:rPr>
        <w:t>项目名称</w:t>
      </w:r>
    </w:p>
    <w:p>
      <w:pPr>
        <w:spacing w:line="360" w:lineRule="auto"/>
        <w:ind w:left="432"/>
        <w:rPr>
          <w:rFonts w:ascii="宋体" w:hAnsi="宋体"/>
          <w:sz w:val="22"/>
        </w:rPr>
      </w:pPr>
      <w:r>
        <w:rPr>
          <w:rFonts w:hint="eastAsia" w:ascii="宋体" w:hAnsi="宋体"/>
          <w:sz w:val="22"/>
        </w:rPr>
        <w:t>项目名称：虚拟病区管理系统</w:t>
      </w:r>
    </w:p>
    <w:p>
      <w:pPr>
        <w:spacing w:line="360" w:lineRule="auto"/>
        <w:ind w:left="432"/>
        <w:rPr>
          <w:rFonts w:ascii="宋体" w:hAnsi="宋体"/>
          <w:sz w:val="22"/>
        </w:rPr>
      </w:pPr>
    </w:p>
    <w:p>
      <w:pPr>
        <w:pStyle w:val="2"/>
        <w:numPr>
          <w:ilvl w:val="0"/>
          <w:numId w:val="3"/>
        </w:numPr>
        <w:spacing w:before="0" w:after="0"/>
        <w:rPr>
          <w:rFonts w:ascii="宋体" w:hAnsi="宋体"/>
          <w:sz w:val="32"/>
          <w:szCs w:val="32"/>
        </w:rPr>
      </w:pPr>
      <w:r>
        <w:rPr>
          <w:rFonts w:hint="eastAsia" w:ascii="宋体" w:hAnsi="宋体"/>
          <w:sz w:val="32"/>
          <w:szCs w:val="32"/>
        </w:rPr>
        <w:t>项目内容</w:t>
      </w:r>
    </w:p>
    <w:p>
      <w:r>
        <w:rPr>
          <w:rFonts w:hint="eastAsia"/>
        </w:rPr>
        <w:t>项目</w:t>
      </w:r>
      <w:r>
        <w:t>功能</w:t>
      </w:r>
      <w:r>
        <w:rPr>
          <w:rFonts w:hint="eastAsia"/>
        </w:rPr>
        <w:t>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3828"/>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cPr>
          <w:p>
            <w:pPr>
              <w:jc w:val="center"/>
            </w:pPr>
            <w:r>
              <w:rPr>
                <w:rFonts w:hint="eastAsia"/>
              </w:rPr>
              <w:t>序号</w:t>
            </w:r>
          </w:p>
        </w:tc>
        <w:tc>
          <w:tcPr>
            <w:tcW w:w="3828" w:type="dxa"/>
          </w:tcPr>
          <w:p>
            <w:pPr>
              <w:jc w:val="center"/>
            </w:pPr>
            <w:r>
              <w:rPr>
                <w:rFonts w:hint="eastAsia"/>
              </w:rPr>
              <w:t>系统名称</w:t>
            </w:r>
          </w:p>
        </w:tc>
        <w:tc>
          <w:tcPr>
            <w:tcW w:w="4536" w:type="dxa"/>
          </w:tcPr>
          <w:p>
            <w:pPr>
              <w:jc w:val="center"/>
            </w:pPr>
            <w:r>
              <w:rPr>
                <w:rFonts w:hint="eastAsia"/>
              </w:rPr>
              <w:t>功能模块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pPr>
            <w:r>
              <w:t>1</w:t>
            </w:r>
          </w:p>
        </w:tc>
        <w:tc>
          <w:tcPr>
            <w:tcW w:w="3828" w:type="dxa"/>
          </w:tcPr>
          <w:p>
            <w:pPr>
              <w:rPr>
                <w:rFonts w:hint="default" w:eastAsia="宋体"/>
                <w:lang w:val="en-US" w:eastAsia="zh-CN"/>
              </w:rPr>
            </w:pPr>
            <w:r>
              <w:rPr>
                <w:rFonts w:hint="default" w:eastAsia="宋体"/>
                <w:lang w:val="en-US" w:eastAsia="zh-CN"/>
              </w:rPr>
              <w:t>I期临床试验</w:t>
            </w:r>
            <w:r>
              <w:rPr>
                <w:rFonts w:hint="eastAsia"/>
                <w:lang w:val="en-US" w:eastAsia="zh-CN"/>
              </w:rPr>
              <w:t>病区管理</w:t>
            </w:r>
          </w:p>
        </w:tc>
        <w:tc>
          <w:tcPr>
            <w:tcW w:w="4536" w:type="dxa"/>
          </w:tcPr>
          <w:p>
            <w:pPr>
              <w:rPr>
                <w:rFonts w:hint="default"/>
                <w:lang w:val="en-US"/>
              </w:rPr>
            </w:pPr>
            <w:r>
              <w:rPr>
                <w:rFonts w:hint="default"/>
                <w:lang w:val="en-US"/>
              </w:rPr>
              <w:fldChar w:fldCharType="begin"/>
            </w:r>
            <w:r>
              <w:rPr>
                <w:rFonts w:hint="default"/>
                <w:lang w:val="en-US"/>
              </w:rPr>
              <w:instrText xml:space="preserve"> HYPERLINK \l "_3.1、I期临床试验病区管理需求" </w:instrText>
            </w:r>
            <w:r>
              <w:rPr>
                <w:rFonts w:hint="default"/>
                <w:lang w:val="en-US"/>
              </w:rPr>
              <w:fldChar w:fldCharType="separate"/>
            </w:r>
            <w:r>
              <w:rPr>
                <w:rStyle w:val="22"/>
                <w:rFonts w:hint="default"/>
                <w:lang w:val="en-US"/>
              </w:rPr>
              <w:t>配置详见3.1I期临床试验病区管理需求</w:t>
            </w:r>
            <w:r>
              <w:rPr>
                <w:rFonts w:hint="default"/>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pPr>
            <w:r>
              <w:rPr>
                <w:rFonts w:hint="eastAsia"/>
              </w:rPr>
              <w:t>2</w:t>
            </w:r>
          </w:p>
        </w:tc>
        <w:tc>
          <w:tcPr>
            <w:tcW w:w="3828" w:type="dxa"/>
          </w:tcPr>
          <w:p>
            <w:pPr>
              <w:rPr>
                <w:rFonts w:hint="eastAsia" w:eastAsia="宋体"/>
                <w:lang w:val="en-US" w:eastAsia="zh-Hans"/>
              </w:rPr>
            </w:pPr>
            <w:r>
              <w:rPr>
                <w:rFonts w:hint="eastAsia" w:ascii="Times New Roman" w:hAnsi="Times New Roman" w:cs="Times New Roman"/>
                <w:lang w:val="en-US" w:eastAsia="zh-CN"/>
              </w:rPr>
              <w:t>肿瘤</w:t>
            </w:r>
            <w:r>
              <w:rPr>
                <w:rFonts w:hint="eastAsia" w:ascii="Times New Roman" w:hAnsi="Times New Roman" w:cs="Times New Roman"/>
              </w:rPr>
              <w:t>日间</w:t>
            </w:r>
            <w:r>
              <w:rPr>
                <w:rFonts w:hint="eastAsia" w:ascii="Times New Roman" w:hAnsi="Times New Roman" w:cs="Times New Roman"/>
                <w:lang w:val="en-US" w:eastAsia="zh-CN"/>
              </w:rPr>
              <w:t>病区</w:t>
            </w:r>
            <w:r>
              <w:rPr>
                <w:rFonts w:hint="eastAsia" w:ascii="Times New Roman" w:hAnsi="Times New Roman" w:cs="Times New Roman"/>
                <w:lang w:val="en-US" w:eastAsia="zh-Hans"/>
              </w:rPr>
              <w:t>管理</w:t>
            </w:r>
          </w:p>
        </w:tc>
        <w:tc>
          <w:tcPr>
            <w:tcW w:w="4536" w:type="dxa"/>
          </w:tcPr>
          <w:p>
            <w:pPr>
              <w:rPr>
                <w:rFonts w:hint="eastAsia" w:eastAsia="宋体"/>
                <w:lang w:val="en-US" w:eastAsia="zh-Hans"/>
              </w:rPr>
            </w:pPr>
            <w:r>
              <w:rPr>
                <w:rFonts w:hint="eastAsia" w:eastAsia="宋体"/>
                <w:lang w:val="en-US" w:eastAsia="zh-Hans"/>
              </w:rPr>
              <w:fldChar w:fldCharType="begin"/>
            </w:r>
            <w:r>
              <w:rPr>
                <w:rFonts w:hint="eastAsia" w:eastAsia="宋体"/>
                <w:lang w:val="en-US" w:eastAsia="zh-Hans"/>
              </w:rPr>
              <w:instrText xml:space="preserve"> HYPERLINK \l "_3.2、日间肿瘤病区管理需求" </w:instrText>
            </w:r>
            <w:r>
              <w:rPr>
                <w:rFonts w:hint="eastAsia" w:eastAsia="宋体"/>
                <w:lang w:val="en-US" w:eastAsia="zh-Hans"/>
              </w:rPr>
              <w:fldChar w:fldCharType="separate"/>
            </w:r>
            <w:r>
              <w:rPr>
                <w:rStyle w:val="22"/>
                <w:rFonts w:hint="eastAsia" w:eastAsia="宋体"/>
                <w:lang w:val="en-US" w:eastAsia="zh-Hans"/>
              </w:rPr>
              <w:t>配置详见3.2肿瘤</w:t>
            </w:r>
            <w:r>
              <w:rPr>
                <w:rStyle w:val="22"/>
                <w:rFonts w:hint="eastAsia"/>
                <w:lang w:val="en-US" w:eastAsia="zh-CN"/>
              </w:rPr>
              <w:t>日间</w:t>
            </w:r>
            <w:r>
              <w:rPr>
                <w:rStyle w:val="22"/>
                <w:rFonts w:hint="eastAsia" w:eastAsia="宋体"/>
                <w:lang w:val="en-US" w:eastAsia="zh-Hans"/>
              </w:rPr>
              <w:t>病区</w:t>
            </w:r>
            <w:r>
              <w:rPr>
                <w:rStyle w:val="22"/>
                <w:rFonts w:hint="eastAsia"/>
                <w:lang w:val="en-US" w:eastAsia="zh-CN"/>
              </w:rPr>
              <w:t>管理</w:t>
            </w:r>
            <w:r>
              <w:rPr>
                <w:rStyle w:val="22"/>
                <w:rFonts w:hint="eastAsia" w:eastAsia="宋体"/>
                <w:lang w:val="en-US" w:eastAsia="zh-Hans"/>
              </w:rPr>
              <w:t>需求</w:t>
            </w:r>
            <w:r>
              <w:rPr>
                <w:rFonts w:hint="eastAsia" w:eastAsia="宋体"/>
                <w:lang w:val="en-US" w:eastAsia="zh-Han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hint="eastAsia" w:eastAsia="宋体"/>
                <w:lang w:val="en-US" w:eastAsia="zh-CN"/>
              </w:rPr>
            </w:pPr>
            <w:r>
              <w:rPr>
                <w:rFonts w:hint="eastAsia"/>
                <w:lang w:val="en-US" w:eastAsia="zh-CN"/>
              </w:rPr>
              <w:t>3</w:t>
            </w:r>
          </w:p>
        </w:tc>
        <w:tc>
          <w:tcPr>
            <w:tcW w:w="3828" w:type="dxa"/>
          </w:tcPr>
          <w:p>
            <w:pPr>
              <w:rPr>
                <w:rFonts w:hint="default" w:ascii="Times New Roman" w:hAnsi="Times New Roman" w:eastAsia="宋体" w:cs="Times New Roman"/>
                <w:lang w:val="en-US" w:eastAsia="zh-CN"/>
              </w:rPr>
            </w:pPr>
            <w:r>
              <w:rPr>
                <w:rFonts w:hint="eastAsia" w:cs="Times New Roman"/>
                <w:lang w:val="en-US" w:eastAsia="zh-CN"/>
              </w:rPr>
              <w:t>OPO供体管理</w:t>
            </w:r>
          </w:p>
        </w:tc>
        <w:tc>
          <w:tcPr>
            <w:tcW w:w="4536" w:type="dxa"/>
          </w:tcPr>
          <w:p>
            <w:pPr>
              <w:rPr>
                <w:rStyle w:val="23"/>
                <w:rFonts w:ascii="Times New Roman" w:hAnsi="Times New Roman" w:cs="Times New Roman"/>
              </w:rPr>
            </w:pPr>
            <w:r>
              <w:rPr>
                <w:rFonts w:ascii="Times New Roman" w:hAnsi="Times New Roman" w:cs="Times New Roman"/>
                <w:color w:val="0563C1"/>
                <w:u w:val="single"/>
              </w:rPr>
              <w:fldChar w:fldCharType="begin"/>
            </w:r>
            <w:r>
              <w:rPr>
                <w:rFonts w:ascii="Times New Roman" w:hAnsi="Times New Roman" w:cs="Times New Roman"/>
                <w:color w:val="0563C1"/>
                <w:u w:val="single"/>
              </w:rPr>
              <w:instrText xml:space="preserve"> HYPERLINK \l "_3.3、OPO供体管理需求" </w:instrText>
            </w:r>
            <w:r>
              <w:rPr>
                <w:rFonts w:ascii="Times New Roman" w:hAnsi="Times New Roman" w:cs="Times New Roman"/>
                <w:color w:val="0563C1"/>
                <w:u w:val="single"/>
              </w:rPr>
              <w:fldChar w:fldCharType="separate"/>
            </w:r>
            <w:r>
              <w:rPr>
                <w:rStyle w:val="22"/>
                <w:rFonts w:ascii="Times New Roman" w:hAnsi="Times New Roman" w:cs="Times New Roman"/>
              </w:rPr>
              <w:t>配置详见3.</w:t>
            </w:r>
            <w:r>
              <w:rPr>
                <w:rStyle w:val="22"/>
                <w:rFonts w:hint="eastAsia" w:cs="Times New Roman"/>
                <w:lang w:val="en-US" w:eastAsia="zh-CN"/>
              </w:rPr>
              <w:t>3OPO供体管理需求</w:t>
            </w:r>
            <w:r>
              <w:rPr>
                <w:rFonts w:ascii="Times New Roman" w:hAnsi="Times New Roman" w:cs="Times New Roman"/>
                <w:color w:val="0563C1"/>
                <w:u w:val="single"/>
              </w:rPr>
              <w:fldChar w:fldCharType="end"/>
            </w:r>
          </w:p>
        </w:tc>
      </w:tr>
    </w:tbl>
    <w:p>
      <w:pPr>
        <w:pStyle w:val="49"/>
        <w:keepNext/>
        <w:keepLines/>
        <w:numPr>
          <w:ilvl w:val="0"/>
          <w:numId w:val="1"/>
        </w:numPr>
        <w:spacing w:line="578" w:lineRule="auto"/>
        <w:ind w:firstLineChars="0"/>
        <w:outlineLvl w:val="0"/>
        <w:rPr>
          <w:rFonts w:ascii="宋体" w:hAnsi="宋体" w:eastAsia="宋体"/>
          <w:b/>
          <w:bCs/>
          <w:vanish/>
          <w:kern w:val="44"/>
          <w:sz w:val="44"/>
          <w:szCs w:val="44"/>
        </w:rPr>
      </w:pPr>
    </w:p>
    <w:p>
      <w:pPr>
        <w:pStyle w:val="49"/>
        <w:keepNext/>
        <w:keepLines/>
        <w:numPr>
          <w:ilvl w:val="0"/>
          <w:numId w:val="1"/>
        </w:numPr>
        <w:spacing w:line="578" w:lineRule="auto"/>
        <w:ind w:firstLineChars="0"/>
        <w:outlineLvl w:val="0"/>
        <w:rPr>
          <w:rFonts w:ascii="宋体" w:hAnsi="宋体" w:eastAsia="宋体"/>
          <w:b/>
          <w:bCs/>
          <w:vanish/>
          <w:kern w:val="44"/>
          <w:sz w:val="44"/>
          <w:szCs w:val="44"/>
        </w:rPr>
      </w:pPr>
    </w:p>
    <w:p>
      <w:pPr>
        <w:pStyle w:val="49"/>
        <w:keepNext/>
        <w:keepLines/>
        <w:numPr>
          <w:ilvl w:val="0"/>
          <w:numId w:val="1"/>
        </w:numPr>
        <w:spacing w:line="578" w:lineRule="auto"/>
        <w:ind w:firstLineChars="0"/>
        <w:outlineLvl w:val="0"/>
        <w:rPr>
          <w:rFonts w:ascii="宋体" w:hAnsi="宋体" w:eastAsia="宋体"/>
          <w:b/>
          <w:bCs/>
          <w:vanish/>
          <w:kern w:val="44"/>
          <w:sz w:val="44"/>
          <w:szCs w:val="44"/>
        </w:rPr>
      </w:pPr>
    </w:p>
    <w:p>
      <w:pPr>
        <w:pStyle w:val="49"/>
        <w:keepNext/>
        <w:keepLines/>
        <w:numPr>
          <w:ilvl w:val="1"/>
          <w:numId w:val="1"/>
        </w:numPr>
        <w:spacing w:line="578" w:lineRule="auto"/>
        <w:ind w:firstLineChars="0"/>
        <w:outlineLvl w:val="0"/>
        <w:rPr>
          <w:rFonts w:ascii="宋体" w:hAnsi="宋体" w:eastAsia="宋体"/>
          <w:b/>
          <w:bCs/>
          <w:vanish/>
          <w:kern w:val="44"/>
          <w:sz w:val="44"/>
          <w:szCs w:val="44"/>
        </w:rPr>
      </w:pPr>
    </w:p>
    <w:p/>
    <w:p>
      <w:pPr>
        <w:pStyle w:val="2"/>
        <w:numPr>
          <w:ilvl w:val="0"/>
          <w:numId w:val="3"/>
        </w:numPr>
        <w:spacing w:before="0" w:after="0"/>
        <w:rPr>
          <w:rFonts w:ascii="宋体" w:hAnsi="宋体"/>
          <w:sz w:val="32"/>
          <w:szCs w:val="32"/>
        </w:rPr>
      </w:pPr>
      <w:r>
        <w:rPr>
          <w:rFonts w:hint="eastAsia" w:ascii="宋体" w:hAnsi="宋体"/>
          <w:sz w:val="32"/>
          <w:szCs w:val="32"/>
        </w:rPr>
        <w:t>详细功能描述</w:t>
      </w:r>
    </w:p>
    <w:p>
      <w:pPr>
        <w:pStyle w:val="3"/>
        <w:spacing w:before="0" w:after="0"/>
        <w:rPr>
          <w:rFonts w:hint="eastAsia" w:ascii="宋体" w:hAnsi="宋体" w:eastAsia="宋体" w:cs="Times New Roman"/>
          <w:sz w:val="24"/>
          <w:szCs w:val="24"/>
          <w:lang w:val="en-US" w:eastAsia="zh-Hans"/>
        </w:rPr>
      </w:pPr>
      <w:bookmarkStart w:id="0" w:name="_6.1.1、大数据服务器"/>
      <w:bookmarkEnd w:id="0"/>
      <w:bookmarkStart w:id="1" w:name="_3.1、门诊无纸化系统功能"/>
      <w:bookmarkStart w:id="2" w:name="_3.1、I期临床试验病区管理需求"/>
      <w:r>
        <w:rPr>
          <w:rFonts w:ascii="宋体" w:hAnsi="宋体" w:eastAsia="宋体"/>
          <w:sz w:val="24"/>
          <w:szCs w:val="24"/>
        </w:rPr>
        <w:t>3.1</w:t>
      </w:r>
      <w:r>
        <w:rPr>
          <w:rFonts w:hint="eastAsia" w:ascii="宋体" w:hAnsi="宋体" w:eastAsia="宋体"/>
          <w:sz w:val="24"/>
          <w:szCs w:val="24"/>
        </w:rPr>
        <w:t>、</w:t>
      </w:r>
      <w:bookmarkEnd w:id="1"/>
      <w:r>
        <w:rPr>
          <w:rFonts w:hint="eastAsia" w:ascii="宋体" w:hAnsi="宋体" w:eastAsia="宋体"/>
          <w:sz w:val="24"/>
          <w:szCs w:val="24"/>
        </w:rPr>
        <w:t>I期临床试验病区管理</w:t>
      </w:r>
      <w:r>
        <w:rPr>
          <w:rFonts w:hint="eastAsia" w:ascii="宋体" w:hAnsi="宋体" w:eastAsia="宋体" w:cs="Times New Roman"/>
          <w:sz w:val="24"/>
          <w:szCs w:val="24"/>
          <w:lang w:val="en-US" w:eastAsia="zh-Hans"/>
        </w:rPr>
        <w:t>需求</w:t>
      </w:r>
    </w:p>
    <w:bookmarkEnd w:id="2"/>
    <w:p>
      <w:pPr>
        <w:spacing w:line="360" w:lineRule="auto"/>
        <w:ind w:left="0" w:leftChars="0" w:firstLine="420" w:firstLineChars="200"/>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为保障医院临床试验的需求，并防止临床试验患者数据对临床业务系统的统计、分析产生不必要的干扰，保证医院原临床业务，需要</w:t>
      </w:r>
      <w:r>
        <w:rPr>
          <w:rFonts w:hint="eastAsia" w:ascii="宋体" w:hAnsi="宋体" w:eastAsia="宋体" w:cs="宋体"/>
          <w:sz w:val="21"/>
          <w:szCs w:val="21"/>
        </w:rPr>
        <w:t>建立I期临床试验虚拟病区管理系统，</w:t>
      </w:r>
      <w:r>
        <w:rPr>
          <w:rFonts w:hint="eastAsia" w:ascii="宋体" w:hAnsi="宋体" w:eastAsia="宋体" w:cs="宋体"/>
          <w:sz w:val="21"/>
          <w:szCs w:val="21"/>
          <w:lang w:val="en-US" w:eastAsia="zh-Hans"/>
        </w:rPr>
        <w:t>通过虚拟病区实现对临床试验患者数据管理，并</w:t>
      </w:r>
      <w:r>
        <w:rPr>
          <w:rFonts w:hint="eastAsia" w:ascii="宋体" w:hAnsi="宋体" w:eastAsia="宋体" w:cs="宋体"/>
          <w:sz w:val="21"/>
          <w:szCs w:val="21"/>
        </w:rPr>
        <w:t>分别对住院医生</w:t>
      </w:r>
      <w:r>
        <w:rPr>
          <w:rFonts w:hint="eastAsia" w:ascii="宋体" w:hAnsi="宋体" w:eastAsia="宋体" w:cs="宋体"/>
          <w:sz w:val="21"/>
          <w:szCs w:val="21"/>
          <w:lang w:val="en-US" w:eastAsia="zh-Hans"/>
        </w:rPr>
        <w:t>工作站</w:t>
      </w:r>
      <w:r>
        <w:rPr>
          <w:rFonts w:hint="eastAsia" w:ascii="宋体" w:hAnsi="宋体" w:eastAsia="宋体" w:cs="宋体"/>
          <w:sz w:val="21"/>
          <w:szCs w:val="21"/>
        </w:rPr>
        <w:t>、平台消息</w:t>
      </w:r>
      <w:r>
        <w:rPr>
          <w:rFonts w:hint="eastAsia" w:ascii="宋体" w:hAnsi="宋体" w:eastAsia="宋体" w:cs="宋体"/>
          <w:sz w:val="21"/>
          <w:szCs w:val="21"/>
          <w:lang w:val="en-US" w:eastAsia="zh-Hans"/>
        </w:rPr>
        <w:t>接口</w:t>
      </w:r>
      <w:r>
        <w:rPr>
          <w:rFonts w:hint="eastAsia" w:ascii="宋体" w:hAnsi="宋体" w:eastAsia="宋体" w:cs="宋体"/>
          <w:sz w:val="21"/>
          <w:szCs w:val="21"/>
        </w:rPr>
        <w:t>、</w:t>
      </w:r>
      <w:r>
        <w:rPr>
          <w:rFonts w:hint="eastAsia" w:ascii="宋体" w:hAnsi="宋体" w:eastAsia="宋体" w:cs="宋体"/>
          <w:sz w:val="21"/>
          <w:szCs w:val="21"/>
          <w:lang w:val="en-US" w:eastAsia="zh-Hans"/>
        </w:rPr>
        <w:t>数据</w:t>
      </w:r>
      <w:r>
        <w:rPr>
          <w:rFonts w:hint="eastAsia" w:ascii="宋体" w:hAnsi="宋体" w:eastAsia="宋体" w:cs="宋体"/>
          <w:sz w:val="21"/>
          <w:szCs w:val="21"/>
        </w:rPr>
        <w:t>上传接口、</w:t>
      </w:r>
      <w:r>
        <w:rPr>
          <w:rFonts w:hint="eastAsia" w:ascii="宋体" w:hAnsi="宋体" w:eastAsia="宋体" w:cs="宋体"/>
          <w:sz w:val="21"/>
          <w:szCs w:val="21"/>
          <w:lang w:val="en-US" w:eastAsia="zh-Hans"/>
        </w:rPr>
        <w:t>住院相关</w:t>
      </w:r>
      <w:r>
        <w:rPr>
          <w:rFonts w:hint="eastAsia" w:ascii="宋体" w:hAnsi="宋体" w:eastAsia="宋体" w:cs="宋体"/>
          <w:sz w:val="21"/>
          <w:szCs w:val="21"/>
        </w:rPr>
        <w:t>报表、</w:t>
      </w:r>
      <w:r>
        <w:rPr>
          <w:rFonts w:hint="eastAsia" w:ascii="宋体" w:hAnsi="宋体" w:eastAsia="宋体" w:cs="宋体"/>
          <w:sz w:val="21"/>
          <w:szCs w:val="21"/>
          <w:lang w:val="en-US" w:eastAsia="zh-Hans"/>
        </w:rPr>
        <w:t>电子</w:t>
      </w:r>
      <w:r>
        <w:rPr>
          <w:rFonts w:hint="eastAsia" w:ascii="宋体" w:hAnsi="宋体" w:eastAsia="宋体" w:cs="宋体"/>
          <w:sz w:val="21"/>
          <w:szCs w:val="21"/>
        </w:rPr>
        <w:t>病历</w:t>
      </w:r>
      <w:r>
        <w:rPr>
          <w:rFonts w:hint="eastAsia" w:ascii="宋体" w:hAnsi="宋体" w:eastAsia="宋体" w:cs="宋体"/>
          <w:sz w:val="21"/>
          <w:szCs w:val="21"/>
          <w:lang w:val="en-US" w:eastAsia="zh-Hans"/>
        </w:rPr>
        <w:t>系统</w:t>
      </w:r>
      <w:r>
        <w:rPr>
          <w:rFonts w:hint="eastAsia" w:ascii="宋体" w:hAnsi="宋体" w:eastAsia="宋体" w:cs="宋体"/>
          <w:sz w:val="21"/>
          <w:szCs w:val="21"/>
        </w:rPr>
        <w:t>、入出院</w:t>
      </w:r>
      <w:r>
        <w:rPr>
          <w:rFonts w:hint="eastAsia" w:ascii="宋体" w:hAnsi="宋体" w:eastAsia="宋体" w:cs="宋体"/>
          <w:sz w:val="21"/>
          <w:szCs w:val="21"/>
          <w:lang w:val="en-US" w:eastAsia="zh-Hans"/>
        </w:rPr>
        <w:t>管理系统</w:t>
      </w:r>
      <w:r>
        <w:rPr>
          <w:rFonts w:hint="eastAsia" w:ascii="宋体" w:hAnsi="宋体" w:eastAsia="宋体" w:cs="宋体"/>
          <w:sz w:val="21"/>
          <w:szCs w:val="21"/>
        </w:rPr>
        <w:t>、</w:t>
      </w:r>
      <w:r>
        <w:rPr>
          <w:rFonts w:hint="eastAsia" w:ascii="宋体" w:hAnsi="宋体" w:eastAsia="宋体" w:cs="宋体"/>
          <w:sz w:val="21"/>
          <w:szCs w:val="21"/>
          <w:lang w:val="en-US" w:eastAsia="zh-Hans"/>
        </w:rPr>
        <w:t>收费系统</w:t>
      </w:r>
      <w:r>
        <w:rPr>
          <w:rFonts w:hint="eastAsia" w:ascii="宋体" w:hAnsi="宋体" w:eastAsia="宋体" w:cs="宋体"/>
          <w:sz w:val="21"/>
          <w:szCs w:val="21"/>
        </w:rPr>
        <w:t>、护理</w:t>
      </w:r>
      <w:r>
        <w:rPr>
          <w:rFonts w:hint="eastAsia" w:ascii="宋体" w:hAnsi="宋体" w:eastAsia="宋体" w:cs="宋体"/>
          <w:sz w:val="21"/>
          <w:szCs w:val="21"/>
          <w:lang w:val="en-US" w:eastAsia="zh-Hans"/>
        </w:rPr>
        <w:t>系统</w:t>
      </w:r>
      <w:r>
        <w:rPr>
          <w:rFonts w:hint="eastAsia" w:ascii="宋体" w:hAnsi="宋体" w:eastAsia="宋体" w:cs="宋体"/>
          <w:sz w:val="21"/>
          <w:szCs w:val="21"/>
        </w:rPr>
        <w:t>等进行改造</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在系统中区分临床试验患者数据</w:t>
      </w:r>
      <w:r>
        <w:rPr>
          <w:rFonts w:hint="eastAsia" w:ascii="宋体" w:hAnsi="宋体" w:eastAsia="宋体" w:cs="宋体"/>
          <w:sz w:val="21"/>
          <w:szCs w:val="21"/>
        </w:rPr>
        <w:t>。符合国家药品监督管理局（NMPA）相关法规要求</w:t>
      </w:r>
      <w:r>
        <w:rPr>
          <w:rFonts w:hint="eastAsia" w:ascii="宋体" w:hAnsi="宋体" w:eastAsia="宋体" w:cs="宋体"/>
          <w:sz w:val="21"/>
          <w:szCs w:val="21"/>
          <w:lang w:eastAsia="zh-Hans"/>
        </w:rPr>
        <w:t>。</w:t>
      </w:r>
      <w:r>
        <w:rPr>
          <w:rFonts w:hint="eastAsia" w:ascii="宋体" w:hAnsi="宋体" w:eastAsia="宋体" w:cs="宋体"/>
          <w:sz w:val="21"/>
          <w:szCs w:val="21"/>
        </w:rPr>
        <w:t>具体</w:t>
      </w:r>
      <w:r>
        <w:rPr>
          <w:rFonts w:hint="eastAsia" w:ascii="宋体" w:hAnsi="宋体" w:eastAsia="宋体" w:cs="宋体"/>
          <w:sz w:val="21"/>
          <w:szCs w:val="21"/>
          <w:lang w:val="en-US" w:eastAsia="zh-Hans"/>
        </w:rPr>
        <w:t>实现</w:t>
      </w:r>
      <w:r>
        <w:rPr>
          <w:rFonts w:hint="eastAsia" w:ascii="宋体" w:hAnsi="宋体" w:eastAsia="宋体" w:cs="宋体"/>
          <w:sz w:val="21"/>
          <w:szCs w:val="21"/>
        </w:rPr>
        <w:t>内容如下：</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Hans"/>
        </w:rPr>
        <w:t>对</w:t>
      </w:r>
      <w:r>
        <w:rPr>
          <w:rFonts w:hint="eastAsia" w:ascii="宋体" w:hAnsi="宋体" w:eastAsia="宋体" w:cs="宋体"/>
          <w:sz w:val="21"/>
          <w:szCs w:val="21"/>
        </w:rPr>
        <w:t>一期病房临床试验住院患者增加独立住院号前缀，可与其他普通住院患者住院号区分开来。</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2、入院登记</w:t>
      </w:r>
      <w:r>
        <w:rPr>
          <w:rFonts w:hint="eastAsia" w:ascii="宋体" w:hAnsi="宋体" w:eastAsia="宋体" w:cs="宋体"/>
          <w:sz w:val="21"/>
          <w:szCs w:val="21"/>
          <w:lang w:val="en-US" w:eastAsia="zh-Hans"/>
        </w:rPr>
        <w:t>时，需</w:t>
      </w:r>
      <w:r>
        <w:rPr>
          <w:rFonts w:hint="eastAsia" w:ascii="宋体" w:hAnsi="宋体" w:eastAsia="宋体" w:cs="宋体"/>
          <w:sz w:val="21"/>
          <w:szCs w:val="21"/>
        </w:rPr>
        <w:t>增加调用第三方临床试验接口</w:t>
      </w:r>
      <w:r>
        <w:rPr>
          <w:rFonts w:hint="eastAsia" w:ascii="宋体" w:hAnsi="宋体" w:eastAsia="宋体" w:cs="宋体"/>
          <w:sz w:val="21"/>
          <w:szCs w:val="21"/>
          <w:lang w:val="en-US" w:eastAsia="zh-Hans"/>
        </w:rPr>
        <w:t>验证该</w:t>
      </w:r>
      <w:r>
        <w:rPr>
          <w:rFonts w:hint="eastAsia" w:ascii="宋体" w:hAnsi="宋体" w:eastAsia="宋体" w:cs="宋体"/>
          <w:sz w:val="21"/>
          <w:szCs w:val="21"/>
        </w:rPr>
        <w:t>患者本次就诊为临床试验</w:t>
      </w:r>
      <w:r>
        <w:rPr>
          <w:rFonts w:hint="eastAsia" w:ascii="宋体" w:hAnsi="宋体" w:eastAsia="宋体" w:cs="宋体"/>
          <w:sz w:val="21"/>
          <w:szCs w:val="21"/>
          <w:lang w:val="en-US" w:eastAsia="zh-Hans"/>
        </w:rPr>
        <w:t>患者</w:t>
      </w:r>
      <w:r>
        <w:rPr>
          <w:rFonts w:hint="eastAsia" w:ascii="宋体" w:hAnsi="宋体" w:eastAsia="宋体" w:cs="宋体"/>
          <w:sz w:val="21"/>
          <w:szCs w:val="21"/>
        </w:rPr>
        <w:t>。</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3、增加“I期病房”医生科室，每个临床试验患者入住到各个护理病区后，会显示在“I期病房”医生科室中，医生登录“I期病房”</w:t>
      </w:r>
      <w:r>
        <w:rPr>
          <w:rFonts w:hint="eastAsia" w:ascii="宋体" w:hAnsi="宋体" w:eastAsia="宋体" w:cs="宋体"/>
          <w:sz w:val="21"/>
          <w:szCs w:val="21"/>
          <w:lang w:val="en-US" w:eastAsia="zh-Hans"/>
        </w:rPr>
        <w:t>科室</w:t>
      </w:r>
      <w:r>
        <w:rPr>
          <w:rFonts w:hint="eastAsia" w:ascii="宋体" w:hAnsi="宋体" w:eastAsia="宋体" w:cs="宋体"/>
          <w:sz w:val="21"/>
          <w:szCs w:val="21"/>
        </w:rPr>
        <w:t>，可</w:t>
      </w:r>
      <w:r>
        <w:rPr>
          <w:rFonts w:hint="eastAsia" w:ascii="宋体" w:hAnsi="宋体" w:eastAsia="宋体" w:cs="宋体"/>
          <w:sz w:val="21"/>
          <w:szCs w:val="21"/>
          <w:lang w:val="en-US" w:eastAsia="zh-Hans"/>
        </w:rPr>
        <w:t>在系统中实现对</w:t>
      </w:r>
      <w:r>
        <w:rPr>
          <w:rFonts w:hint="eastAsia" w:ascii="宋体" w:hAnsi="宋体" w:eastAsia="宋体" w:cs="宋体"/>
          <w:sz w:val="21"/>
          <w:szCs w:val="21"/>
        </w:rPr>
        <w:t>临床试验患者开医嘱、写病历</w:t>
      </w:r>
      <w:r>
        <w:rPr>
          <w:rFonts w:hint="eastAsia" w:ascii="宋体" w:hAnsi="宋体" w:eastAsia="宋体" w:cs="宋体"/>
          <w:sz w:val="21"/>
          <w:szCs w:val="21"/>
          <w:lang w:val="en-US" w:eastAsia="zh-Hans"/>
        </w:rPr>
        <w:t>等临床业务行为</w:t>
      </w:r>
      <w:r>
        <w:rPr>
          <w:rFonts w:hint="eastAsia" w:ascii="宋体" w:hAnsi="宋体" w:eastAsia="宋体" w:cs="宋体"/>
          <w:sz w:val="21"/>
          <w:szCs w:val="21"/>
        </w:rPr>
        <w:t>。</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4、支持</w:t>
      </w:r>
      <w:r>
        <w:rPr>
          <w:rFonts w:hint="eastAsia" w:ascii="宋体" w:hAnsi="宋体" w:eastAsia="宋体" w:cs="宋体"/>
          <w:sz w:val="21"/>
          <w:szCs w:val="21"/>
          <w:lang w:val="en-US" w:eastAsia="zh-Hans"/>
        </w:rPr>
        <w:t>护士</w:t>
      </w:r>
      <w:r>
        <w:rPr>
          <w:rFonts w:hint="eastAsia" w:ascii="宋体" w:hAnsi="宋体" w:eastAsia="宋体" w:cs="宋体"/>
          <w:sz w:val="21"/>
          <w:szCs w:val="21"/>
        </w:rPr>
        <w:t>登录到临床试验患者的</w:t>
      </w:r>
      <w:r>
        <w:rPr>
          <w:rFonts w:hint="eastAsia" w:ascii="宋体" w:hAnsi="宋体" w:eastAsia="宋体" w:cs="宋体"/>
          <w:sz w:val="21"/>
          <w:szCs w:val="21"/>
          <w:lang w:val="en-US" w:eastAsia="zh-Hans"/>
        </w:rPr>
        <w:t>分配的虚拟</w:t>
      </w:r>
      <w:r>
        <w:rPr>
          <w:rFonts w:hint="eastAsia" w:ascii="宋体" w:hAnsi="宋体" w:eastAsia="宋体" w:cs="宋体"/>
          <w:sz w:val="21"/>
          <w:szCs w:val="21"/>
        </w:rPr>
        <w:t>病区，可</w:t>
      </w:r>
      <w:r>
        <w:rPr>
          <w:rFonts w:hint="eastAsia" w:ascii="宋体" w:hAnsi="宋体" w:eastAsia="宋体" w:cs="宋体"/>
          <w:sz w:val="21"/>
          <w:szCs w:val="21"/>
          <w:lang w:val="en-US" w:eastAsia="zh-Hans"/>
        </w:rPr>
        <w:t>在系统中实现临床</w:t>
      </w:r>
      <w:r>
        <w:rPr>
          <w:rFonts w:hint="eastAsia" w:ascii="宋体" w:hAnsi="宋体" w:eastAsia="宋体" w:cs="宋体"/>
          <w:sz w:val="21"/>
          <w:szCs w:val="21"/>
        </w:rPr>
        <w:t>相应的护理</w:t>
      </w:r>
      <w:r>
        <w:rPr>
          <w:rFonts w:hint="eastAsia" w:ascii="宋体" w:hAnsi="宋体" w:eastAsia="宋体" w:cs="宋体"/>
          <w:sz w:val="21"/>
          <w:szCs w:val="21"/>
          <w:lang w:val="en-US" w:eastAsia="zh-Hans"/>
        </w:rPr>
        <w:t>业务</w:t>
      </w:r>
      <w:r>
        <w:rPr>
          <w:rFonts w:hint="eastAsia" w:ascii="宋体" w:hAnsi="宋体" w:eastAsia="宋体" w:cs="宋体"/>
          <w:sz w:val="21"/>
          <w:szCs w:val="21"/>
        </w:rPr>
        <w:t>，包括确认医嘱、执行、请求发药、退药、补退费、护理文书、批出院等。</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Hans"/>
        </w:rPr>
        <w:t>标记为</w:t>
      </w:r>
      <w:r>
        <w:rPr>
          <w:rFonts w:hint="eastAsia" w:ascii="宋体" w:hAnsi="宋体" w:eastAsia="宋体" w:cs="宋体"/>
          <w:sz w:val="21"/>
          <w:szCs w:val="21"/>
        </w:rPr>
        <w:t>临床试验</w:t>
      </w:r>
      <w:r>
        <w:rPr>
          <w:rFonts w:hint="eastAsia" w:ascii="宋体" w:hAnsi="宋体" w:eastAsia="宋体" w:cs="宋体"/>
          <w:sz w:val="21"/>
          <w:szCs w:val="21"/>
          <w:lang w:val="en-US" w:eastAsia="zh-Hans"/>
        </w:rPr>
        <w:t>的</w:t>
      </w:r>
      <w:r>
        <w:rPr>
          <w:rFonts w:hint="eastAsia" w:ascii="宋体" w:hAnsi="宋体" w:eastAsia="宋体" w:cs="宋体"/>
          <w:sz w:val="21"/>
          <w:szCs w:val="21"/>
        </w:rPr>
        <w:t>患者不允许作转科操作。</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6、支持由医生勾选临床试验患者项目费用</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并选择</w:t>
      </w:r>
      <w:r>
        <w:rPr>
          <w:rFonts w:hint="eastAsia" w:ascii="宋体" w:hAnsi="宋体" w:eastAsia="宋体" w:cs="宋体"/>
          <w:sz w:val="21"/>
          <w:szCs w:val="21"/>
        </w:rPr>
        <w:t>使用临床试验基金进行结算</w:t>
      </w:r>
      <w:r>
        <w:rPr>
          <w:rFonts w:hint="eastAsia" w:ascii="宋体" w:hAnsi="宋体" w:eastAsia="宋体" w:cs="宋体"/>
          <w:sz w:val="21"/>
          <w:szCs w:val="21"/>
          <w:lang w:val="en-US" w:eastAsia="zh-Hans"/>
        </w:rPr>
        <w:t>或</w:t>
      </w:r>
      <w:r>
        <w:rPr>
          <w:rFonts w:hint="eastAsia" w:ascii="宋体" w:hAnsi="宋体" w:eastAsia="宋体" w:cs="宋体"/>
          <w:sz w:val="21"/>
          <w:szCs w:val="21"/>
        </w:rPr>
        <w:t>非临床试验基金结算。</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7、住院结算支持临床试验患者的费用分开临床试验和非临床试验费用结算。</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8、临床试验患者病历文书</w:t>
      </w:r>
      <w:r>
        <w:rPr>
          <w:rFonts w:hint="eastAsia" w:ascii="宋体" w:hAnsi="宋体" w:eastAsia="宋体" w:cs="宋体"/>
          <w:sz w:val="21"/>
          <w:szCs w:val="21"/>
          <w:lang w:val="en-US" w:eastAsia="zh-Hans"/>
        </w:rPr>
        <w:t>仅留存在医院临床系统中</w:t>
      </w:r>
      <w:r>
        <w:rPr>
          <w:rFonts w:hint="eastAsia" w:ascii="宋体" w:hAnsi="宋体" w:eastAsia="宋体" w:cs="宋体"/>
          <w:sz w:val="21"/>
          <w:szCs w:val="21"/>
        </w:rPr>
        <w:t>，无需上传平台、无需传入医保接口、病案接口、卫健委健康档案上传、肿瘤上报</w:t>
      </w:r>
      <w:r>
        <w:rPr>
          <w:rFonts w:hint="eastAsia" w:ascii="宋体" w:hAnsi="宋体" w:eastAsia="宋体" w:cs="宋体"/>
          <w:sz w:val="21"/>
          <w:szCs w:val="21"/>
          <w:lang w:val="en-US" w:eastAsia="zh-Hans"/>
        </w:rPr>
        <w:t>等数据上报业务系统中</w:t>
      </w:r>
      <w:r>
        <w:rPr>
          <w:rFonts w:hint="eastAsia" w:ascii="宋体" w:hAnsi="宋体" w:eastAsia="宋体" w:cs="宋体"/>
          <w:sz w:val="21"/>
          <w:szCs w:val="21"/>
        </w:rPr>
        <w:t>。</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val="en-US" w:eastAsia="zh-Hans"/>
        </w:rPr>
        <w:t>在</w:t>
      </w:r>
      <w:r>
        <w:rPr>
          <w:rFonts w:hint="eastAsia" w:ascii="宋体" w:hAnsi="宋体" w:eastAsia="宋体" w:cs="宋体"/>
          <w:sz w:val="21"/>
          <w:szCs w:val="21"/>
        </w:rPr>
        <w:t>病历质控功能（科室质控、环节质控、终末质控）</w:t>
      </w:r>
      <w:r>
        <w:rPr>
          <w:rFonts w:hint="eastAsia" w:ascii="宋体" w:hAnsi="宋体" w:eastAsia="宋体" w:cs="宋体"/>
          <w:sz w:val="21"/>
          <w:szCs w:val="21"/>
          <w:lang w:val="en-US" w:eastAsia="zh-Hans"/>
        </w:rPr>
        <w:t>中</w:t>
      </w:r>
      <w:r>
        <w:rPr>
          <w:rFonts w:hint="eastAsia" w:ascii="宋体" w:hAnsi="宋体" w:eastAsia="宋体" w:cs="宋体"/>
          <w:sz w:val="21"/>
          <w:szCs w:val="21"/>
        </w:rPr>
        <w:t>过滤临床试验患者记录</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不作为质控功能操作数据</w:t>
      </w:r>
      <w:r>
        <w:rPr>
          <w:rFonts w:hint="eastAsia" w:ascii="宋体" w:hAnsi="宋体" w:eastAsia="宋体" w:cs="宋体"/>
          <w:sz w:val="21"/>
          <w:szCs w:val="21"/>
        </w:rPr>
        <w:t>。</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val="en-US" w:eastAsia="zh-Hans"/>
        </w:rPr>
        <w:t>在</w:t>
      </w:r>
      <w:r>
        <w:rPr>
          <w:rFonts w:hint="eastAsia" w:ascii="宋体" w:hAnsi="宋体" w:eastAsia="宋体" w:cs="宋体"/>
          <w:sz w:val="21"/>
          <w:szCs w:val="21"/>
        </w:rPr>
        <w:t>病历质控相关报表等，过滤临床试验患者</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不作为质控统计数据源</w:t>
      </w:r>
      <w:r>
        <w:rPr>
          <w:rFonts w:hint="eastAsia" w:ascii="宋体" w:hAnsi="宋体" w:eastAsia="宋体" w:cs="宋体"/>
          <w:sz w:val="21"/>
          <w:szCs w:val="21"/>
        </w:rPr>
        <w:t>。</w:t>
      </w:r>
    </w:p>
    <w:p>
      <w:pPr>
        <w:spacing w:line="360" w:lineRule="auto"/>
        <w:ind w:left="0" w:leftChars="0" w:firstLine="420" w:firstLineChars="200"/>
        <w:rPr>
          <w:rFonts w:hint="eastAsia" w:ascii="宋体" w:hAnsi="宋体" w:eastAsia="宋体" w:cs="宋体"/>
          <w:sz w:val="21"/>
          <w:szCs w:val="21"/>
        </w:rPr>
      </w:pPr>
    </w:p>
    <w:p>
      <w:pPr>
        <w:pStyle w:val="3"/>
        <w:spacing w:before="0" w:after="0"/>
        <w:rPr>
          <w:rFonts w:hint="eastAsia" w:ascii="宋体" w:hAnsi="宋体" w:eastAsia="宋体"/>
          <w:sz w:val="24"/>
          <w:szCs w:val="24"/>
          <w:lang w:val="en-US" w:eastAsia="zh-Hans"/>
        </w:rPr>
      </w:pPr>
      <w:bookmarkStart w:id="3" w:name="_3.2、患者服务屏"/>
      <w:bookmarkStart w:id="4" w:name="_3.2、日间肿瘤病区管理需求"/>
      <w:r>
        <w:rPr>
          <w:rFonts w:ascii="宋体" w:hAnsi="宋体" w:eastAsia="宋体"/>
          <w:sz w:val="24"/>
          <w:szCs w:val="24"/>
        </w:rPr>
        <w:t>3.</w:t>
      </w:r>
      <w:r>
        <w:rPr>
          <w:rFonts w:hint="eastAsia" w:ascii="宋体" w:hAnsi="宋体" w:eastAsia="宋体"/>
          <w:sz w:val="24"/>
          <w:szCs w:val="24"/>
          <w:lang w:val="en-US"/>
        </w:rPr>
        <w:t>2</w:t>
      </w:r>
      <w:r>
        <w:rPr>
          <w:rFonts w:hint="eastAsia" w:ascii="宋体" w:hAnsi="宋体" w:eastAsia="宋体"/>
          <w:sz w:val="24"/>
          <w:szCs w:val="24"/>
        </w:rPr>
        <w:t>、</w:t>
      </w:r>
      <w:r>
        <w:rPr>
          <w:rFonts w:hint="eastAsia" w:ascii="宋体" w:hAnsi="宋体" w:eastAsia="宋体" w:cs="Times New Roman"/>
          <w:sz w:val="24"/>
          <w:szCs w:val="24"/>
          <w:lang w:val="en-US" w:eastAsia="zh-CN"/>
        </w:rPr>
        <w:t>肿瘤日间病区</w:t>
      </w:r>
      <w:r>
        <w:rPr>
          <w:rFonts w:hint="eastAsia" w:ascii="宋体" w:hAnsi="宋体" w:eastAsia="宋体" w:cs="Times New Roman"/>
          <w:sz w:val="24"/>
          <w:szCs w:val="24"/>
          <w:lang w:val="en-US" w:eastAsia="zh-Hans"/>
        </w:rPr>
        <w:t>管理</w:t>
      </w:r>
      <w:bookmarkEnd w:id="3"/>
      <w:r>
        <w:rPr>
          <w:rFonts w:hint="eastAsia" w:ascii="宋体" w:hAnsi="宋体" w:eastAsia="宋体"/>
          <w:sz w:val="24"/>
          <w:szCs w:val="24"/>
          <w:lang w:val="en-US" w:eastAsia="zh-Hans"/>
        </w:rPr>
        <w:t>需求</w:t>
      </w:r>
    </w:p>
    <w:bookmarkEnd w:id="4"/>
    <w:p>
      <w:pPr>
        <w:spacing w:line="360" w:lineRule="auto"/>
        <w:ind w:left="0" w:leftChars="0" w:firstLine="420" w:firstLineChars="200"/>
        <w:rPr>
          <w:rFonts w:hint="eastAsia"/>
          <w:lang w:eastAsia="zh-Hans"/>
        </w:rPr>
      </w:pPr>
      <w:r>
        <w:rPr>
          <w:rFonts w:hint="eastAsia" w:ascii="宋体" w:hAnsi="宋体" w:eastAsia="宋体" w:cs="宋体"/>
          <w:sz w:val="21"/>
          <w:szCs w:val="21"/>
          <w:lang w:val="en-US" w:eastAsia="zh-CN"/>
        </w:rPr>
        <w:t>近年来，肿瘤发病率呈逐年上升趋势，医院肿瘤病房的床位数难以满足日益增多的肿瘤患者住院需求。日间病房以“短平快”的特点迅速发展，成为对传统医疗服务模式的重要补充。但目前日间病房普遍使用门诊</w:t>
      </w:r>
      <w:r>
        <w:rPr>
          <w:rFonts w:hint="eastAsia" w:ascii="宋体" w:hAnsi="宋体" w:eastAsia="宋体" w:cs="宋体"/>
          <w:sz w:val="21"/>
          <w:szCs w:val="21"/>
          <w:lang w:val="en-US" w:eastAsia="zh-Hans"/>
        </w:rPr>
        <w:t>医生工作站</w:t>
      </w:r>
      <w:r>
        <w:rPr>
          <w:rFonts w:hint="eastAsia" w:ascii="宋体" w:hAnsi="宋体" w:eastAsia="宋体" w:cs="宋体"/>
          <w:sz w:val="21"/>
          <w:szCs w:val="21"/>
          <w:lang w:val="en-US" w:eastAsia="zh-CN"/>
        </w:rPr>
        <w:t>以及住院</w:t>
      </w:r>
      <w:r>
        <w:rPr>
          <w:rFonts w:hint="eastAsia" w:ascii="宋体" w:hAnsi="宋体" w:eastAsia="宋体" w:cs="宋体"/>
          <w:sz w:val="21"/>
          <w:szCs w:val="21"/>
          <w:lang w:val="en-US" w:eastAsia="zh-Hans"/>
        </w:rPr>
        <w:t>电子</w:t>
      </w:r>
      <w:r>
        <w:rPr>
          <w:rFonts w:hint="eastAsia" w:ascii="宋体" w:hAnsi="宋体" w:eastAsia="宋体" w:cs="宋体"/>
          <w:sz w:val="21"/>
          <w:szCs w:val="21"/>
          <w:lang w:val="en-US" w:eastAsia="zh-CN"/>
        </w:rPr>
        <w:t>病历系统，并不能完全适用日间病房的使用场景。</w:t>
      </w:r>
      <w:r>
        <w:rPr>
          <w:rFonts w:hint="eastAsia" w:ascii="宋体" w:hAnsi="宋体" w:eastAsia="宋体" w:cs="宋体"/>
          <w:sz w:val="21"/>
          <w:szCs w:val="21"/>
          <w:lang w:val="en-US" w:eastAsia="zh-Hans"/>
        </w:rPr>
        <w:t>需要根据日间</w:t>
      </w:r>
      <w:r>
        <w:rPr>
          <w:rFonts w:hint="eastAsia" w:ascii="宋体" w:hAnsi="宋体" w:eastAsia="宋体" w:cs="宋体"/>
          <w:sz w:val="21"/>
          <w:szCs w:val="21"/>
          <w:lang w:val="en-US" w:eastAsia="zh-CN"/>
        </w:rPr>
        <w:t>肿瘤病区</w:t>
      </w:r>
      <w:r>
        <w:rPr>
          <w:rFonts w:hint="eastAsia" w:ascii="宋体" w:hAnsi="宋体" w:eastAsia="宋体" w:cs="宋体"/>
          <w:sz w:val="21"/>
          <w:szCs w:val="21"/>
          <w:lang w:val="en-US" w:eastAsia="zh-Hans"/>
        </w:rPr>
        <w:t>业务场景，实现日间</w:t>
      </w:r>
      <w:r>
        <w:rPr>
          <w:rFonts w:hint="eastAsia" w:ascii="宋体" w:hAnsi="宋体" w:eastAsia="宋体" w:cs="宋体"/>
          <w:sz w:val="21"/>
          <w:szCs w:val="21"/>
          <w:lang w:val="en-US" w:eastAsia="zh-CN"/>
        </w:rPr>
        <w:t>肿瘤病区全链条、多场景的整体解决方案</w:t>
      </w:r>
      <w:r>
        <w:rPr>
          <w:rFonts w:hint="eastAsia" w:ascii="宋体" w:hAnsi="宋体" w:eastAsia="宋体" w:cs="宋体"/>
          <w:sz w:val="21"/>
          <w:szCs w:val="21"/>
          <w:lang w:val="en-US" w:eastAsia="zh-Hans"/>
        </w:rPr>
        <w:t>。</w:t>
      </w:r>
      <w:r>
        <w:rPr>
          <w:rFonts w:hint="eastAsia" w:ascii="宋体" w:hAnsi="宋体" w:eastAsia="宋体" w:cs="宋体"/>
          <w:sz w:val="21"/>
          <w:szCs w:val="21"/>
        </w:rPr>
        <w:t>具体</w:t>
      </w:r>
      <w:r>
        <w:rPr>
          <w:rFonts w:hint="eastAsia" w:ascii="宋体" w:hAnsi="宋体" w:eastAsia="宋体" w:cs="宋体"/>
          <w:sz w:val="21"/>
          <w:szCs w:val="21"/>
          <w:lang w:val="en-US" w:eastAsia="zh-Hans"/>
        </w:rPr>
        <w:t>实现</w:t>
      </w:r>
      <w:r>
        <w:rPr>
          <w:rFonts w:hint="eastAsia" w:ascii="宋体" w:hAnsi="宋体" w:eastAsia="宋体" w:cs="宋体"/>
          <w:sz w:val="21"/>
          <w:szCs w:val="21"/>
        </w:rPr>
        <w:t>内容如下：</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1、门诊医生站</w:t>
      </w:r>
      <w:r>
        <w:rPr>
          <w:rFonts w:hint="eastAsia" w:ascii="宋体" w:hAnsi="宋体" w:eastAsia="宋体" w:cs="宋体"/>
          <w:sz w:val="21"/>
          <w:szCs w:val="21"/>
          <w:lang w:val="en-US" w:eastAsia="zh-Hans"/>
        </w:rPr>
        <w:t>增加</w:t>
      </w:r>
      <w:r>
        <w:rPr>
          <w:rFonts w:hint="eastAsia" w:ascii="宋体" w:hAnsi="宋体" w:eastAsia="宋体" w:cs="宋体"/>
          <w:sz w:val="21"/>
          <w:szCs w:val="21"/>
        </w:rPr>
        <w:t>肿瘤日间医嘱处方与知情同意书、预约日期关联功能；</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Hans"/>
        </w:rPr>
        <w:t>实现</w:t>
      </w:r>
      <w:r>
        <w:rPr>
          <w:rFonts w:hint="eastAsia" w:ascii="宋体" w:hAnsi="宋体" w:eastAsia="宋体" w:cs="宋体"/>
          <w:sz w:val="21"/>
          <w:szCs w:val="21"/>
        </w:rPr>
        <w:t>肿瘤日间医嘱知情同意书模板内容维护，包括模板名称、模板内容明细。</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Hans"/>
        </w:rPr>
        <w:t>实现</w:t>
      </w:r>
      <w:r>
        <w:rPr>
          <w:rFonts w:hint="eastAsia" w:ascii="宋体" w:hAnsi="宋体" w:eastAsia="宋体" w:cs="宋体"/>
          <w:sz w:val="21"/>
          <w:szCs w:val="21"/>
        </w:rPr>
        <w:t>肿瘤日间医嘱知情同意书打印功能。</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Hans"/>
        </w:rPr>
        <w:t>实现</w:t>
      </w:r>
      <w:r>
        <w:rPr>
          <w:rFonts w:hint="eastAsia" w:ascii="宋体" w:hAnsi="宋体" w:eastAsia="宋体" w:cs="宋体"/>
          <w:sz w:val="21"/>
          <w:szCs w:val="21"/>
        </w:rPr>
        <w:t>肿瘤日间医嘱知情同意书患者</w:t>
      </w:r>
      <w:r>
        <w:rPr>
          <w:rFonts w:hint="eastAsia" w:ascii="宋体" w:hAnsi="宋体" w:eastAsia="宋体" w:cs="宋体"/>
          <w:sz w:val="21"/>
          <w:szCs w:val="21"/>
          <w:lang w:val="en-US" w:eastAsia="zh-Hans"/>
        </w:rPr>
        <w:t>电子</w:t>
      </w:r>
      <w:r>
        <w:rPr>
          <w:rFonts w:hint="eastAsia" w:ascii="宋体" w:hAnsi="宋体" w:eastAsia="宋体" w:cs="宋体"/>
          <w:sz w:val="21"/>
          <w:szCs w:val="21"/>
        </w:rPr>
        <w:t>签名功能。</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Hans"/>
        </w:rPr>
        <w:t>实现</w:t>
      </w:r>
      <w:r>
        <w:rPr>
          <w:rFonts w:hint="eastAsia" w:ascii="宋体" w:hAnsi="宋体" w:eastAsia="宋体" w:cs="宋体"/>
          <w:sz w:val="21"/>
          <w:szCs w:val="21"/>
        </w:rPr>
        <w:t>肿瘤日间医嘱通过公众号推送预约时间消息功能。</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6、门诊医生站</w:t>
      </w:r>
      <w:r>
        <w:rPr>
          <w:rFonts w:hint="eastAsia" w:ascii="宋体" w:hAnsi="宋体" w:eastAsia="宋体" w:cs="宋体"/>
          <w:sz w:val="21"/>
          <w:szCs w:val="21"/>
          <w:lang w:val="en-US" w:eastAsia="zh-Hans"/>
        </w:rPr>
        <w:t>增加</w:t>
      </w:r>
      <w:r>
        <w:rPr>
          <w:rFonts w:hint="eastAsia" w:ascii="宋体" w:hAnsi="宋体" w:eastAsia="宋体" w:cs="宋体"/>
          <w:sz w:val="21"/>
          <w:szCs w:val="21"/>
        </w:rPr>
        <w:t>肿瘤日间</w:t>
      </w:r>
      <w:r>
        <w:rPr>
          <w:rFonts w:hint="eastAsia" w:ascii="宋体" w:hAnsi="宋体" w:eastAsia="宋体" w:cs="宋体"/>
          <w:sz w:val="21"/>
          <w:szCs w:val="21"/>
          <w:lang w:val="en-US" w:eastAsia="zh-Hans"/>
        </w:rPr>
        <w:t>病区</w:t>
      </w:r>
      <w:r>
        <w:rPr>
          <w:rFonts w:hint="eastAsia" w:ascii="宋体" w:hAnsi="宋体" w:eastAsia="宋体" w:cs="宋体"/>
          <w:sz w:val="21"/>
          <w:szCs w:val="21"/>
        </w:rPr>
        <w:t>医嘱</w:t>
      </w:r>
      <w:r>
        <w:rPr>
          <w:rFonts w:hint="eastAsia" w:ascii="宋体" w:hAnsi="宋体" w:eastAsia="宋体" w:cs="宋体"/>
          <w:sz w:val="21"/>
          <w:szCs w:val="21"/>
          <w:lang w:eastAsia="zh-Hans"/>
        </w:rPr>
        <w:t>、</w:t>
      </w:r>
      <w:r>
        <w:rPr>
          <w:rFonts w:hint="eastAsia" w:ascii="宋体" w:hAnsi="宋体" w:eastAsia="宋体" w:cs="宋体"/>
          <w:sz w:val="21"/>
          <w:szCs w:val="21"/>
        </w:rPr>
        <w:t>处方</w:t>
      </w:r>
      <w:r>
        <w:rPr>
          <w:rFonts w:hint="eastAsia" w:ascii="宋体" w:hAnsi="宋体" w:eastAsia="宋体" w:cs="宋体"/>
          <w:sz w:val="21"/>
          <w:szCs w:val="21"/>
          <w:lang w:val="en-US" w:eastAsia="zh-Hans"/>
        </w:rPr>
        <w:t>功能，实现</w:t>
      </w:r>
      <w:r>
        <w:rPr>
          <w:rFonts w:hint="eastAsia" w:ascii="宋体" w:hAnsi="宋体" w:eastAsia="宋体" w:cs="宋体"/>
          <w:sz w:val="21"/>
          <w:szCs w:val="21"/>
        </w:rPr>
        <w:t>日间肿瘤</w:t>
      </w:r>
      <w:r>
        <w:rPr>
          <w:rFonts w:hint="eastAsia" w:ascii="宋体" w:hAnsi="宋体" w:eastAsia="宋体" w:cs="宋体"/>
          <w:sz w:val="21"/>
          <w:szCs w:val="21"/>
          <w:lang w:val="en-US" w:eastAsia="zh-Hans"/>
        </w:rPr>
        <w:t>病区</w:t>
      </w:r>
      <w:r>
        <w:rPr>
          <w:rFonts w:hint="eastAsia" w:ascii="宋体" w:hAnsi="宋体" w:eastAsia="宋体" w:cs="宋体"/>
          <w:sz w:val="21"/>
          <w:szCs w:val="21"/>
        </w:rPr>
        <w:t>预约单打印功能。</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7、提供肿瘤日间</w:t>
      </w:r>
      <w:r>
        <w:rPr>
          <w:rFonts w:hint="eastAsia" w:ascii="宋体" w:hAnsi="宋体" w:eastAsia="宋体" w:cs="宋体"/>
          <w:sz w:val="21"/>
          <w:szCs w:val="21"/>
          <w:lang w:val="en-US" w:eastAsia="zh-Hans"/>
        </w:rPr>
        <w:t>病区医疗</w:t>
      </w:r>
      <w:r>
        <w:rPr>
          <w:rFonts w:hint="eastAsia" w:ascii="宋体" w:hAnsi="宋体" w:eastAsia="宋体" w:cs="宋体"/>
          <w:sz w:val="21"/>
          <w:szCs w:val="21"/>
        </w:rPr>
        <w:t>号源</w:t>
      </w:r>
      <w:r>
        <w:rPr>
          <w:rFonts w:hint="eastAsia" w:ascii="宋体" w:hAnsi="宋体" w:cs="宋体"/>
          <w:sz w:val="21"/>
          <w:szCs w:val="21"/>
          <w:lang w:val="en-US" w:eastAsia="zh-CN"/>
        </w:rPr>
        <w:t>精细化排班</w:t>
      </w:r>
      <w:r>
        <w:rPr>
          <w:rFonts w:hint="eastAsia" w:ascii="宋体" w:hAnsi="宋体" w:eastAsia="宋体" w:cs="宋体"/>
          <w:sz w:val="21"/>
          <w:szCs w:val="21"/>
        </w:rPr>
        <w:t>维护功能，</w:t>
      </w:r>
      <w:r>
        <w:rPr>
          <w:rFonts w:hint="eastAsia" w:ascii="宋体" w:hAnsi="宋体" w:cs="宋体"/>
          <w:sz w:val="21"/>
          <w:szCs w:val="21"/>
          <w:lang w:val="en-US" w:eastAsia="zh-CN"/>
        </w:rPr>
        <w:t>可以细化至上午、下午；支持设置多个号源池，面向普通患者和临床试验患者</w:t>
      </w:r>
      <w:r>
        <w:rPr>
          <w:rFonts w:hint="eastAsia" w:ascii="宋体" w:hAnsi="宋体" w:eastAsia="宋体" w:cs="宋体"/>
          <w:sz w:val="21"/>
          <w:szCs w:val="21"/>
        </w:rPr>
        <w:t>。</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8、提供</w:t>
      </w:r>
      <w:r>
        <w:rPr>
          <w:rFonts w:hint="eastAsia" w:ascii="宋体" w:hAnsi="宋体" w:eastAsia="宋体" w:cs="宋体"/>
          <w:sz w:val="21"/>
          <w:szCs w:val="21"/>
          <w:lang w:val="en-US" w:eastAsia="zh-CN"/>
        </w:rPr>
        <w:t>肿瘤</w:t>
      </w:r>
      <w:r>
        <w:rPr>
          <w:rFonts w:hint="eastAsia" w:ascii="宋体" w:hAnsi="宋体" w:eastAsia="宋体" w:cs="宋体"/>
          <w:sz w:val="21"/>
          <w:szCs w:val="21"/>
        </w:rPr>
        <w:t>日间</w:t>
      </w:r>
      <w:r>
        <w:rPr>
          <w:rFonts w:hint="eastAsia" w:ascii="宋体" w:hAnsi="宋体" w:eastAsia="宋体" w:cs="宋体"/>
          <w:sz w:val="21"/>
          <w:szCs w:val="21"/>
          <w:lang w:val="en-US" w:eastAsia="zh-Hans"/>
        </w:rPr>
        <w:t>病区</w:t>
      </w:r>
      <w:r>
        <w:rPr>
          <w:rFonts w:hint="eastAsia" w:ascii="宋体" w:hAnsi="宋体" w:eastAsia="宋体" w:cs="宋体"/>
          <w:sz w:val="21"/>
          <w:szCs w:val="21"/>
        </w:rPr>
        <w:t>预约查询界面功能，由执行科室根据预约日期查询患者，以及打印患者标签</w:t>
      </w:r>
      <w:r>
        <w:rPr>
          <w:rFonts w:hint="eastAsia" w:ascii="宋体" w:hAnsi="宋体" w:cs="宋体"/>
          <w:sz w:val="21"/>
          <w:szCs w:val="21"/>
          <w:lang w:val="en-US" w:eastAsia="zh-CN"/>
        </w:rPr>
        <w:t>和医嘱</w:t>
      </w:r>
      <w:r>
        <w:rPr>
          <w:rFonts w:hint="eastAsia" w:ascii="宋体" w:hAnsi="宋体" w:eastAsia="宋体" w:cs="宋体"/>
          <w:sz w:val="21"/>
          <w:szCs w:val="21"/>
        </w:rPr>
        <w:t>。</w:t>
      </w:r>
    </w:p>
    <w:p>
      <w:pPr>
        <w:spacing w:line="360" w:lineRule="auto"/>
        <w:ind w:left="0" w:leftChars="0"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9、支持导出日间治疗患者的姓名、性别、流水号、电话号码、诊断等信息。</w:t>
      </w:r>
    </w:p>
    <w:p>
      <w:pPr>
        <w:spacing w:line="360" w:lineRule="auto"/>
        <w:ind w:left="0"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、提供接口供5G互联网医院</w:t>
      </w:r>
      <w:r>
        <w:rPr>
          <w:rFonts w:hint="eastAsia" w:ascii="宋体" w:hAnsi="宋体" w:eastAsia="宋体" w:cs="宋体"/>
          <w:sz w:val="21"/>
          <w:szCs w:val="21"/>
          <w:lang w:val="en-US" w:eastAsia="zh-Hans"/>
        </w:rPr>
        <w:t>调用，实现</w:t>
      </w:r>
      <w:r>
        <w:rPr>
          <w:rFonts w:hint="eastAsia" w:ascii="宋体" w:hAnsi="宋体" w:eastAsia="宋体" w:cs="宋体"/>
          <w:sz w:val="21"/>
          <w:szCs w:val="21"/>
        </w:rPr>
        <w:t>日间</w:t>
      </w:r>
      <w:r>
        <w:rPr>
          <w:rFonts w:hint="eastAsia" w:ascii="宋体" w:hAnsi="宋体" w:eastAsia="宋体" w:cs="宋体"/>
          <w:sz w:val="21"/>
          <w:szCs w:val="21"/>
          <w:lang w:val="en-US" w:eastAsia="zh-CN"/>
        </w:rPr>
        <w:t>肿瘤</w:t>
      </w:r>
      <w:r>
        <w:rPr>
          <w:rFonts w:hint="eastAsia" w:ascii="宋体" w:hAnsi="宋体" w:eastAsia="宋体" w:cs="宋体"/>
          <w:sz w:val="21"/>
          <w:szCs w:val="21"/>
        </w:rPr>
        <w:t>治疗医嘱开立</w:t>
      </w:r>
      <w:r>
        <w:rPr>
          <w:rFonts w:hint="eastAsia" w:ascii="宋体" w:hAnsi="宋体" w:eastAsia="宋体" w:cs="宋体"/>
          <w:sz w:val="21"/>
          <w:szCs w:val="21"/>
          <w:lang w:val="en-US" w:eastAsia="zh-Hans"/>
        </w:rPr>
        <w:t>功能</w:t>
      </w:r>
      <w:r>
        <w:rPr>
          <w:rFonts w:hint="eastAsia" w:ascii="宋体" w:hAnsi="宋体" w:eastAsia="宋体" w:cs="宋体"/>
          <w:sz w:val="21"/>
          <w:szCs w:val="21"/>
        </w:rPr>
        <w:t>。</w:t>
      </w:r>
    </w:p>
    <w:p>
      <w:pPr>
        <w:spacing w:line="360" w:lineRule="auto"/>
        <w:ind w:left="0" w:leftChars="0" w:firstLine="420" w:firstLineChars="200"/>
        <w:rPr>
          <w:rFonts w:hint="eastAsia" w:ascii="宋体" w:hAnsi="宋体" w:eastAsia="宋体" w:cs="宋体"/>
          <w:sz w:val="21"/>
          <w:szCs w:val="21"/>
          <w:lang w:val="en-US" w:eastAsia="zh-Hans"/>
        </w:rPr>
      </w:pPr>
      <w:r>
        <w:rPr>
          <w:rFonts w:hint="eastAsia" w:ascii="宋体" w:hAnsi="宋体" w:eastAsia="宋体" w:cs="宋体"/>
          <w:sz w:val="21"/>
          <w:szCs w:val="21"/>
        </w:rPr>
        <w:t>1</w:t>
      </w:r>
      <w:r>
        <w:rPr>
          <w:rFonts w:hint="eastAsia" w:ascii="宋体" w:hAnsi="宋体" w:cs="宋体"/>
          <w:sz w:val="21"/>
          <w:szCs w:val="21"/>
          <w:lang w:val="en-US" w:eastAsia="zh-CN"/>
        </w:rPr>
        <w:t>1</w:t>
      </w:r>
      <w:r>
        <w:rPr>
          <w:rFonts w:hint="eastAsia" w:ascii="宋体" w:hAnsi="宋体" w:eastAsia="宋体" w:cs="宋体"/>
          <w:sz w:val="21"/>
          <w:szCs w:val="21"/>
        </w:rPr>
        <w:t>、提供肿瘤日间</w:t>
      </w:r>
      <w:r>
        <w:rPr>
          <w:rFonts w:hint="eastAsia" w:ascii="宋体" w:hAnsi="宋体" w:eastAsia="宋体" w:cs="宋体"/>
          <w:sz w:val="21"/>
          <w:szCs w:val="21"/>
          <w:lang w:val="en-US" w:eastAsia="zh-Hans"/>
        </w:rPr>
        <w:t>病区PIVAS药品情况展示功能，通过</w:t>
      </w:r>
      <w:r>
        <w:rPr>
          <w:rFonts w:hint="eastAsia" w:ascii="宋体" w:hAnsi="宋体" w:eastAsia="宋体" w:cs="宋体"/>
          <w:sz w:val="21"/>
          <w:szCs w:val="21"/>
          <w:lang w:val="en-US" w:eastAsia="zh-CN"/>
        </w:rPr>
        <w:t>调用</w:t>
      </w:r>
      <w:r>
        <w:rPr>
          <w:rFonts w:hint="eastAsia" w:ascii="宋体" w:hAnsi="宋体" w:eastAsia="宋体" w:cs="宋体"/>
          <w:sz w:val="21"/>
          <w:szCs w:val="21"/>
          <w:lang w:val="en-US" w:eastAsia="zh-Hans"/>
        </w:rPr>
        <w:t>第三方PIVAS接口，查看</w:t>
      </w:r>
      <w:r>
        <w:rPr>
          <w:rFonts w:hint="eastAsia" w:ascii="宋体" w:hAnsi="宋体" w:eastAsia="宋体" w:cs="宋体"/>
          <w:sz w:val="21"/>
          <w:szCs w:val="21"/>
          <w:lang w:val="en-US" w:eastAsia="zh-CN"/>
        </w:rPr>
        <w:t>具体预约时间</w:t>
      </w:r>
      <w:r>
        <w:rPr>
          <w:rFonts w:hint="eastAsia" w:ascii="宋体" w:hAnsi="宋体" w:eastAsia="宋体" w:cs="宋体"/>
          <w:sz w:val="21"/>
          <w:szCs w:val="21"/>
          <w:lang w:val="en-US" w:eastAsia="zh-Hans"/>
        </w:rPr>
        <w:t>，并提供给门诊医生站和5G互联网医院查阅。</w:t>
      </w:r>
    </w:p>
    <w:p>
      <w:pPr>
        <w:spacing w:line="360" w:lineRule="auto"/>
        <w:ind w:left="0" w:leftChars="0" w:firstLine="420" w:firstLineChars="200"/>
        <w:rPr>
          <w:rFonts w:hint="eastAsia" w:ascii="宋体" w:hAnsi="宋体" w:eastAsia="宋体" w:cs="宋体"/>
          <w:sz w:val="21"/>
          <w:szCs w:val="21"/>
          <w:highlight w:val="yellow"/>
        </w:rPr>
      </w:pPr>
    </w:p>
    <w:p>
      <w:pPr>
        <w:pStyle w:val="3"/>
        <w:spacing w:before="0" w:after="0"/>
        <w:rPr>
          <w:rFonts w:hint="eastAsia" w:ascii="宋体" w:hAnsi="宋体" w:eastAsia="宋体"/>
          <w:sz w:val="24"/>
          <w:szCs w:val="24"/>
          <w:lang w:val="en-US" w:eastAsia="zh-Hans"/>
        </w:rPr>
      </w:pPr>
      <w:bookmarkStart w:id="5" w:name="_3.3、OPO供体管理需求"/>
      <w:r>
        <w:rPr>
          <w:rFonts w:ascii="宋体" w:hAnsi="宋体" w:eastAsia="宋体"/>
          <w:sz w:val="24"/>
          <w:szCs w:val="24"/>
        </w:rPr>
        <w:t>3.</w:t>
      </w:r>
      <w:r>
        <w:rPr>
          <w:rFonts w:hint="eastAsia" w:ascii="宋体" w:hAnsi="宋体" w:eastAsia="宋体"/>
          <w:sz w:val="24"/>
          <w:szCs w:val="24"/>
          <w:lang w:val="en-US" w:eastAsia="zh-CN"/>
        </w:rPr>
        <w:t>3</w:t>
      </w:r>
      <w:r>
        <w:rPr>
          <w:rFonts w:hint="eastAsia" w:ascii="宋体" w:hAnsi="宋体" w:eastAsia="宋体"/>
          <w:sz w:val="24"/>
          <w:szCs w:val="24"/>
        </w:rPr>
        <w:t>、</w:t>
      </w:r>
      <w:r>
        <w:rPr>
          <w:rFonts w:hint="eastAsia" w:ascii="宋体" w:hAnsi="宋体" w:eastAsia="宋体" w:cs="Times New Roman"/>
          <w:sz w:val="24"/>
          <w:szCs w:val="24"/>
          <w:lang w:val="en-US" w:eastAsia="zh-CN"/>
        </w:rPr>
        <w:t>OPO供体</w:t>
      </w:r>
      <w:r>
        <w:rPr>
          <w:rFonts w:hint="eastAsia" w:ascii="宋体" w:hAnsi="宋体" w:eastAsia="宋体" w:cs="Times New Roman"/>
          <w:sz w:val="24"/>
          <w:szCs w:val="24"/>
          <w:lang w:val="en-US" w:eastAsia="zh-Hans"/>
        </w:rPr>
        <w:t>管理</w:t>
      </w:r>
      <w:r>
        <w:rPr>
          <w:rFonts w:hint="eastAsia" w:ascii="宋体" w:hAnsi="宋体" w:eastAsia="宋体"/>
          <w:sz w:val="24"/>
          <w:szCs w:val="24"/>
          <w:lang w:val="en-US" w:eastAsia="zh-Hans"/>
        </w:rPr>
        <w:t>需求</w:t>
      </w:r>
    </w:p>
    <w:bookmarkEnd w:id="5"/>
    <w:p>
      <w:pPr>
        <w:spacing w:line="360" w:lineRule="auto"/>
        <w:ind w:left="0"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统一管理案例，让所有捐献案例电子化，方便日后查询及管理。</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(1)在家属签字捐献同意后，给捐献者办理入院至OPO办公室</w:t>
      </w:r>
      <w:r>
        <w:rPr>
          <w:rFonts w:hint="eastAsia" w:ascii="宋体" w:hAnsi="宋体" w:cs="宋体"/>
          <w:sz w:val="21"/>
          <w:szCs w:val="21"/>
          <w:lang w:val="en-US" w:eastAsia="zh-CN"/>
        </w:rPr>
        <w:t>虚拟病区</w:t>
      </w:r>
      <w:r>
        <w:rPr>
          <w:rFonts w:hint="eastAsia" w:ascii="宋体" w:hAnsi="宋体" w:eastAsia="宋体" w:cs="宋体"/>
          <w:sz w:val="21"/>
          <w:szCs w:val="21"/>
        </w:rPr>
        <w:t>，建立捐献案例档案，OPO办公室人员自行给捐献者办理捐献入院，无需经过入院处，不影响捐献者所在维护科室的正常运作。</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(2)所有进入OPO办公室的捐献案例经由OPO统一管理，不列入医院病例质量考核。</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(3)对相关人员设置权限：获取医生、维护医生及OPO工作人员。</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(4)通过HIS系统，可对捐献者进行获取手术开单，发单到手术室，在开完手术申请单后涉及捐献事项的收费都在此住院号开单。</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(5)对过往已经实施的捐献案例可逐一设置唯一捐献住院号统一归档HIS系统。</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对于</w:t>
      </w:r>
      <w:r>
        <w:rPr>
          <w:rFonts w:hint="eastAsia" w:ascii="宋体" w:hAnsi="宋体" w:eastAsia="宋体" w:cs="宋体"/>
          <w:sz w:val="21"/>
          <w:szCs w:val="21"/>
        </w:rPr>
        <w:t>外院产生的</w:t>
      </w:r>
      <w:r>
        <w:rPr>
          <w:rFonts w:hint="eastAsia" w:ascii="宋体" w:hAnsi="宋体" w:cs="宋体"/>
          <w:sz w:val="21"/>
          <w:szCs w:val="21"/>
          <w:lang w:val="en-US" w:eastAsia="zh-CN"/>
        </w:rPr>
        <w:t>案例需要提供系统支撑</w:t>
      </w:r>
      <w:r>
        <w:rPr>
          <w:rFonts w:hint="eastAsia" w:ascii="宋体" w:hAnsi="宋体" w:eastAsia="宋体" w:cs="宋体"/>
          <w:sz w:val="21"/>
          <w:szCs w:val="21"/>
        </w:rPr>
        <w:t>：</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(1) OPO工作人员已线下签署相关同意书，由院外转入我院的，正常办理ICU入院及捐献案例入院，将相关资料上传系统。</w:t>
      </w:r>
    </w:p>
    <w:p>
      <w:p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(2)OPO工作人员已线下签署相关同意书，在院外完成的案例，由OPO工作人员办理捐献案例入院，将相关资料上传系统。</w:t>
      </w:r>
    </w:p>
    <w:p>
      <w:pPr>
        <w:spacing w:line="360" w:lineRule="auto"/>
        <w:ind w:left="0" w:leftChars="0"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rPr>
        <w:t>、</w:t>
      </w:r>
      <w:r>
        <w:rPr>
          <w:rFonts w:hint="eastAsia" w:ascii="宋体" w:hAnsi="宋体" w:cs="宋体"/>
          <w:sz w:val="21"/>
          <w:szCs w:val="21"/>
          <w:lang w:val="en-US" w:eastAsia="zh-CN"/>
        </w:rPr>
        <w:t>支持不同类型的捐献者设置不同的上传资料目录，譬如：捐献者独立的病案首页、</w:t>
      </w:r>
      <w:r>
        <w:rPr>
          <w:rFonts w:hint="eastAsia" w:ascii="宋体" w:hAnsi="宋体" w:eastAsia="宋体" w:cs="宋体"/>
          <w:sz w:val="21"/>
          <w:szCs w:val="21"/>
        </w:rPr>
        <w:t>心死亡捐献案例资料</w:t>
      </w:r>
      <w:r>
        <w:rPr>
          <w:rFonts w:hint="eastAsia" w:ascii="宋体" w:hAnsi="宋体" w:cs="宋体"/>
          <w:sz w:val="21"/>
          <w:szCs w:val="21"/>
          <w:lang w:val="en-US" w:eastAsia="zh-CN"/>
        </w:rPr>
        <w:t>文件夹</w:t>
      </w:r>
      <w:r>
        <w:rPr>
          <w:rFonts w:hint="eastAsia" w:ascii="宋体" w:hAnsi="宋体" w:cs="宋体"/>
          <w:sz w:val="21"/>
          <w:szCs w:val="21"/>
          <w:lang w:eastAsia="zh-CN"/>
        </w:rPr>
        <w:t>（</w:t>
      </w:r>
      <w:r>
        <w:rPr>
          <w:rFonts w:hint="eastAsia" w:ascii="宋体" w:hAnsi="宋体" w:cs="宋体"/>
          <w:sz w:val="21"/>
          <w:szCs w:val="21"/>
          <w:lang w:val="en-US" w:eastAsia="zh-CN"/>
        </w:rPr>
        <w:t>21份电子资料文档</w:t>
      </w:r>
      <w:r>
        <w:rPr>
          <w:rFonts w:hint="eastAsia" w:ascii="宋体" w:hAnsi="宋体" w:cs="宋体"/>
          <w:sz w:val="21"/>
          <w:szCs w:val="21"/>
          <w:lang w:eastAsia="zh-CN"/>
        </w:rPr>
        <w:t>）、</w:t>
      </w:r>
      <w:r>
        <w:rPr>
          <w:rFonts w:hint="eastAsia" w:ascii="宋体" w:hAnsi="宋体" w:eastAsia="宋体" w:cs="宋体"/>
          <w:sz w:val="21"/>
          <w:szCs w:val="21"/>
        </w:rPr>
        <w:t>脑死亡捐献案例资料</w:t>
      </w:r>
      <w:r>
        <w:rPr>
          <w:rFonts w:hint="eastAsia" w:ascii="宋体" w:hAnsi="宋体" w:cs="宋体"/>
          <w:sz w:val="21"/>
          <w:szCs w:val="21"/>
          <w:lang w:val="en-US" w:eastAsia="zh-CN"/>
        </w:rPr>
        <w:t>文件夹（19份电子资料文档）。</w:t>
      </w:r>
    </w:p>
    <w:p>
      <w:pPr>
        <w:spacing w:line="360" w:lineRule="auto"/>
        <w:ind w:left="0" w:leftChars="0" w:firstLine="420" w:firstLineChars="200"/>
        <w:rPr>
          <w:rFonts w:hint="eastAsia" w:ascii="宋体" w:hAnsi="宋体" w:cs="宋体"/>
          <w:sz w:val="21"/>
          <w:szCs w:val="21"/>
          <w:lang w:val="en-US" w:eastAsia="zh-CN"/>
        </w:rPr>
      </w:pPr>
    </w:p>
    <w:p>
      <w:pPr>
        <w:pStyle w:val="2"/>
        <w:numPr>
          <w:ilvl w:val="0"/>
          <w:numId w:val="3"/>
        </w:numPr>
        <w:spacing w:before="0" w:after="0"/>
      </w:pPr>
      <w:r>
        <w:rPr>
          <w:rFonts w:hint="eastAsia" w:ascii="宋体" w:hAnsi="宋体"/>
          <w:sz w:val="32"/>
          <w:szCs w:val="32"/>
        </w:rPr>
        <w:t>项目工期</w:t>
      </w:r>
    </w:p>
    <w:p>
      <w:pPr>
        <w:numPr>
          <w:ilvl w:val="0"/>
          <w:numId w:val="4"/>
        </w:numPr>
        <w:tabs>
          <w:tab w:val="left" w:pos="420"/>
          <w:tab w:val="left" w:pos="780"/>
        </w:tabs>
        <w:spacing w:before="156" w:beforeLines="50" w:line="360" w:lineRule="auto"/>
        <w:ind w:left="0" w:firstLine="420" w:firstLineChars="200"/>
        <w:outlineLvl w:val="0"/>
        <w:rPr>
          <w:rFonts w:ascii="宋体" w:hAnsi="宋体" w:cs="宋体"/>
          <w:szCs w:val="21"/>
        </w:rPr>
      </w:pPr>
      <w:r>
        <w:rPr>
          <w:rFonts w:hint="eastAsia" w:ascii="宋体" w:hAnsi="宋体" w:cs="宋体"/>
          <w:szCs w:val="21"/>
        </w:rPr>
        <w:t>自合同签订日起，须在</w:t>
      </w:r>
      <w:r>
        <w:rPr>
          <w:rFonts w:hint="default" w:ascii="宋体" w:hAnsi="宋体" w:cs="宋体"/>
          <w:szCs w:val="21"/>
        </w:rPr>
        <w:t>1</w:t>
      </w:r>
      <w:r>
        <w:rPr>
          <w:rFonts w:hint="eastAsia" w:ascii="宋体" w:hAnsi="宋体" w:cs="宋体"/>
          <w:szCs w:val="21"/>
        </w:rPr>
        <w:t>5个工作日内对《用户需求说明书》进行补充、确认或提出意见。</w:t>
      </w:r>
    </w:p>
    <w:p>
      <w:pPr>
        <w:numPr>
          <w:ilvl w:val="0"/>
          <w:numId w:val="4"/>
        </w:numPr>
        <w:tabs>
          <w:tab w:val="left" w:pos="780"/>
        </w:tabs>
        <w:spacing w:before="156" w:beforeLines="50" w:line="360" w:lineRule="auto"/>
        <w:ind w:left="0" w:firstLine="420" w:firstLineChars="200"/>
        <w:outlineLvl w:val="0"/>
        <w:rPr>
          <w:rFonts w:ascii="宋体" w:hAnsi="宋体" w:cs="宋体"/>
          <w:szCs w:val="21"/>
        </w:rPr>
      </w:pPr>
      <w:r>
        <w:rPr>
          <w:rFonts w:hint="eastAsia" w:ascii="宋体" w:hAnsi="宋体" w:cs="宋体"/>
          <w:szCs w:val="21"/>
        </w:rPr>
        <w:t>对《用户需求说明书》提出意见后，院方组织进行用户需求调研，根据调研情况提供业务调研记录、现况分析、功能设计及说明，双方共同整理并在10个工作日内确认《需求规格说明书》。</w:t>
      </w:r>
    </w:p>
    <w:p>
      <w:pPr>
        <w:numPr>
          <w:ilvl w:val="0"/>
          <w:numId w:val="4"/>
        </w:numPr>
        <w:tabs>
          <w:tab w:val="left" w:pos="780"/>
        </w:tabs>
        <w:spacing w:before="156" w:beforeLines="50" w:line="360" w:lineRule="auto"/>
        <w:ind w:left="0" w:firstLine="420" w:firstLineChars="200"/>
        <w:outlineLvl w:val="0"/>
        <w:rPr>
          <w:rFonts w:ascii="宋体" w:hAnsi="宋体" w:cs="宋体"/>
          <w:szCs w:val="21"/>
        </w:rPr>
      </w:pPr>
      <w:r>
        <w:rPr>
          <w:rFonts w:hint="eastAsia" w:ascii="宋体" w:hAnsi="宋体" w:cs="宋体"/>
          <w:szCs w:val="21"/>
        </w:rPr>
        <w:t>须在《需求规格说明书》确认后的</w:t>
      </w:r>
      <w:r>
        <w:rPr>
          <w:rFonts w:hint="eastAsia" w:ascii="宋体" w:hAnsi="宋体" w:cs="宋体"/>
          <w:szCs w:val="21"/>
          <w:lang w:val="en-US" w:eastAsia="zh-CN"/>
        </w:rPr>
        <w:t>120</w:t>
      </w:r>
      <w:r>
        <w:rPr>
          <w:rFonts w:hint="eastAsia" w:ascii="宋体" w:hAnsi="宋体" w:cs="宋体"/>
          <w:szCs w:val="21"/>
        </w:rPr>
        <w:t>个工作日内完成实施导入和保证系统正常工作。</w:t>
      </w:r>
    </w:p>
    <w:p>
      <w:pPr>
        <w:numPr>
          <w:ilvl w:val="0"/>
          <w:numId w:val="4"/>
        </w:numPr>
        <w:tabs>
          <w:tab w:val="left" w:pos="780"/>
        </w:tabs>
        <w:spacing w:before="156" w:beforeLines="50" w:line="360" w:lineRule="auto"/>
        <w:ind w:left="0" w:firstLine="420" w:firstLineChars="200"/>
        <w:outlineLvl w:val="0"/>
        <w:rPr>
          <w:rFonts w:ascii="宋体" w:hAnsi="宋体" w:cs="宋体"/>
          <w:szCs w:val="21"/>
        </w:rPr>
      </w:pPr>
      <w:r>
        <w:rPr>
          <w:rFonts w:hint="eastAsia" w:ascii="宋体" w:hAnsi="宋体" w:cs="宋体"/>
          <w:szCs w:val="21"/>
        </w:rPr>
        <w:t>完成软件实施，并根据院方提出的新需求完成修改后，系统运行3个月以上无软件故障出现，则向院方申请验收。</w:t>
      </w:r>
    </w:p>
    <w:p>
      <w:pPr>
        <w:rPr>
          <w:lang w:val="zh-CN"/>
        </w:rPr>
      </w:pPr>
    </w:p>
    <w:p>
      <w:pPr>
        <w:numPr>
          <w:ilvl w:val="0"/>
          <w:numId w:val="3"/>
        </w:numPr>
        <w:rPr>
          <w:rFonts w:ascii="宋体" w:hAnsi="宋体"/>
          <w:b/>
          <w:bCs/>
          <w:kern w:val="44"/>
          <w:sz w:val="32"/>
          <w:szCs w:val="32"/>
          <w:lang w:val="zh-CN"/>
        </w:rPr>
      </w:pPr>
      <w:r>
        <w:rPr>
          <w:rFonts w:hint="eastAsia" w:ascii="宋体" w:hAnsi="宋体"/>
          <w:b/>
          <w:bCs/>
          <w:kern w:val="44"/>
          <w:sz w:val="32"/>
          <w:szCs w:val="32"/>
          <w:lang w:val="zh-CN"/>
        </w:rPr>
        <w:t>安装要求</w:t>
      </w:r>
    </w:p>
    <w:p>
      <w:pPr>
        <w:numPr>
          <w:ilvl w:val="0"/>
          <w:numId w:val="5"/>
        </w:numPr>
        <w:tabs>
          <w:tab w:val="left" w:pos="420"/>
          <w:tab w:val="left" w:pos="780"/>
        </w:tabs>
        <w:spacing w:before="156" w:beforeLines="50" w:line="360" w:lineRule="auto"/>
        <w:ind w:left="0" w:firstLine="420" w:firstLineChars="200"/>
        <w:outlineLvl w:val="0"/>
        <w:rPr>
          <w:rFonts w:ascii="宋体" w:hAnsi="宋体" w:cs="宋体"/>
          <w:szCs w:val="21"/>
        </w:rPr>
      </w:pPr>
      <w:r>
        <w:rPr>
          <w:rFonts w:hint="eastAsia" w:ascii="宋体" w:hAnsi="宋体" w:cs="宋体"/>
          <w:szCs w:val="21"/>
        </w:rPr>
        <w:t>供货方应按院方指定的安装日期、安装要求进行</w:t>
      </w:r>
      <w:r>
        <w:rPr>
          <w:rFonts w:hint="eastAsia" w:ascii="宋体" w:hAnsi="宋体" w:cs="宋体"/>
          <w:szCs w:val="21"/>
          <w:lang w:val="en-US" w:eastAsia="zh-Hans"/>
        </w:rPr>
        <w:t>部署和实施</w:t>
      </w:r>
      <w:r>
        <w:rPr>
          <w:rFonts w:hint="eastAsia" w:ascii="宋体" w:hAnsi="宋体" w:cs="宋体"/>
          <w:szCs w:val="21"/>
        </w:rPr>
        <w:t>。</w:t>
      </w:r>
    </w:p>
    <w:p>
      <w:pPr>
        <w:numPr>
          <w:ilvl w:val="0"/>
          <w:numId w:val="5"/>
        </w:numPr>
        <w:tabs>
          <w:tab w:val="left" w:pos="420"/>
          <w:tab w:val="left" w:pos="780"/>
        </w:tabs>
        <w:spacing w:before="156" w:beforeLines="50" w:line="360" w:lineRule="auto"/>
        <w:ind w:left="0" w:firstLine="420" w:firstLineChars="200"/>
        <w:outlineLvl w:val="0"/>
        <w:rPr>
          <w:rFonts w:ascii="宋体" w:hAnsi="宋体" w:cs="宋体"/>
          <w:szCs w:val="21"/>
        </w:rPr>
      </w:pPr>
      <w:r>
        <w:rPr>
          <w:rFonts w:hint="eastAsia" w:ascii="宋体" w:hAnsi="宋体" w:cs="宋体"/>
          <w:szCs w:val="21"/>
        </w:rPr>
        <w:t>供货方需根据院方的详细需求，提交项目产品的安装、调试及培训实施方案，方案得到院方确认后实施，保证系统按时、正常地投入运行。</w:t>
      </w:r>
    </w:p>
    <w:p>
      <w:pPr>
        <w:numPr>
          <w:ilvl w:val="0"/>
          <w:numId w:val="0"/>
        </w:numPr>
        <w:tabs>
          <w:tab w:val="left" w:pos="420"/>
          <w:tab w:val="left" w:pos="780"/>
        </w:tabs>
        <w:spacing w:before="156" w:beforeLines="50" w:line="360" w:lineRule="auto"/>
        <w:outlineLvl w:val="0"/>
        <w:rPr>
          <w:rFonts w:ascii="宋体" w:hAnsi="宋体" w:cs="宋体"/>
          <w:szCs w:val="21"/>
        </w:rPr>
      </w:pPr>
    </w:p>
    <w:p>
      <w:pPr>
        <w:pStyle w:val="2"/>
        <w:numPr>
          <w:ilvl w:val="0"/>
          <w:numId w:val="3"/>
        </w:numPr>
        <w:spacing w:before="0" w:after="0"/>
        <w:rPr>
          <w:rFonts w:ascii="宋体" w:hAnsi="宋体"/>
          <w:color w:val="FF0000"/>
          <w:sz w:val="32"/>
          <w:szCs w:val="32"/>
        </w:rPr>
      </w:pPr>
      <w:r>
        <w:rPr>
          <w:rFonts w:hint="eastAsia" w:ascii="宋体" w:hAnsi="宋体"/>
          <w:sz w:val="32"/>
          <w:szCs w:val="32"/>
        </w:rPr>
        <w:t>实施</w:t>
      </w:r>
      <w:r>
        <w:rPr>
          <w:rFonts w:ascii="宋体" w:hAnsi="宋体"/>
          <w:sz w:val="32"/>
          <w:szCs w:val="32"/>
        </w:rPr>
        <w:t>服务要求</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在项目实施前，结合院方项目需求，需向医院提交设计方案进行安全评审，保证安全技术措施同步规划，系统建设根据信息系统安全等级保护要求进行建设。</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软件需通过院方信息部门组织的信息系统安全等级定级要求，项目承建商需依据国家最新等级保护标准完成系统功能建设；上线前软件需通过院方信息部门组织的安全测评、漏洞扫描、渗透测试等安全检查，项目承建商根据检测结果对安全漏洞进行整改。</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项目承建商需根据院方的详细需求，提交项目系统的安装、调试及培训实施方案，方案得到院方确认后实施，保证系统按时、正常地投入运行。</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验收由承建商给出具体的验收计划、测试的内容和方法，经院方审核通过后，方可进行验收测试。</w:t>
      </w:r>
    </w:p>
    <w:p/>
    <w:p>
      <w:pPr>
        <w:pStyle w:val="2"/>
        <w:numPr>
          <w:ilvl w:val="0"/>
          <w:numId w:val="3"/>
        </w:numPr>
        <w:spacing w:before="0" w:after="0"/>
        <w:rPr>
          <w:rFonts w:ascii="宋体" w:hAnsi="宋体"/>
          <w:color w:val="FF0000"/>
          <w:sz w:val="32"/>
          <w:szCs w:val="32"/>
        </w:rPr>
      </w:pPr>
      <w:r>
        <w:rPr>
          <w:rFonts w:hint="eastAsia" w:ascii="宋体" w:hAnsi="宋体"/>
          <w:sz w:val="32"/>
          <w:szCs w:val="32"/>
        </w:rPr>
        <w:t>后续维护服务</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软件免费维护期从合同标的验收合格之日算起，期限为24个月。在免费维护期内，承建商提供技术支持和指导，以及软件的局部改进完善以及故障情况下的现场问题解决。</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在免费维护期结束前，须由承建商和院方进行一次全面检查，任何缺陷必须由承建商负责修复，在修复之后，承建商应将缺陷原因、修复内容、完成修理及恢复正常的时间和日期等报告给院方，形成项目总结报告。</w:t>
      </w:r>
    </w:p>
    <w:p>
      <w:pPr>
        <w:tabs>
          <w:tab w:val="left" w:pos="780"/>
        </w:tabs>
        <w:spacing w:before="156" w:beforeLines="50" w:line="360" w:lineRule="auto"/>
        <w:ind w:firstLine="420" w:firstLineChars="200"/>
        <w:outlineLvl w:val="0"/>
        <w:rPr>
          <w:rFonts w:hint="eastAsia" w:ascii="宋体" w:hAnsi="宋体" w:cs="宋体"/>
          <w:szCs w:val="21"/>
        </w:rPr>
      </w:pPr>
      <w:r>
        <w:rPr>
          <w:rFonts w:hint="eastAsia" w:ascii="宋体" w:hAnsi="宋体" w:cs="宋体"/>
          <w:szCs w:val="21"/>
        </w:rPr>
        <w:t>软件超过免费维护期的，双方另行协商签订维护合同，服务方报价不超过合同软件部分金额的8%。</w:t>
      </w:r>
    </w:p>
    <w:p>
      <w:pPr>
        <w:tabs>
          <w:tab w:val="left" w:pos="780"/>
        </w:tabs>
        <w:spacing w:before="156" w:beforeLines="50" w:line="360" w:lineRule="auto"/>
        <w:ind w:firstLine="420" w:firstLineChars="200"/>
        <w:outlineLvl w:val="0"/>
        <w:rPr>
          <w:rFonts w:hint="eastAsia" w:ascii="宋体" w:hAnsi="宋体" w:cs="宋体"/>
          <w:szCs w:val="21"/>
        </w:rPr>
      </w:pPr>
    </w:p>
    <w:p>
      <w:pPr>
        <w:pStyle w:val="2"/>
        <w:numPr>
          <w:ilvl w:val="0"/>
          <w:numId w:val="3"/>
        </w:numPr>
        <w:spacing w:before="0" w:after="0"/>
        <w:rPr>
          <w:rFonts w:ascii="宋体" w:hAnsi="宋体"/>
          <w:color w:val="FF0000"/>
          <w:sz w:val="32"/>
          <w:szCs w:val="32"/>
        </w:rPr>
      </w:pPr>
      <w:r>
        <w:rPr>
          <w:rFonts w:hint="eastAsia" w:ascii="宋体" w:hAnsi="宋体"/>
          <w:sz w:val="32"/>
          <w:szCs w:val="32"/>
        </w:rPr>
        <w:t>合同款支付方式</w:t>
      </w:r>
    </w:p>
    <w:p>
      <w:pPr>
        <w:tabs>
          <w:tab w:val="left" w:pos="780"/>
        </w:tabs>
        <w:spacing w:before="156" w:beforeLines="50" w:line="360" w:lineRule="auto"/>
        <w:ind w:firstLine="420" w:firstLineChars="200"/>
        <w:outlineLvl w:val="0"/>
        <w:rPr>
          <w:rFonts w:hint="eastAsia" w:ascii="宋体" w:hAnsi="宋体" w:cs="宋体"/>
          <w:szCs w:val="21"/>
        </w:rPr>
      </w:pPr>
      <w:r>
        <w:rPr>
          <w:rFonts w:hint="eastAsia" w:ascii="宋体" w:hAnsi="宋体" w:cs="宋体"/>
          <w:szCs w:val="21"/>
        </w:rPr>
        <w:t>(一)合同签订后，在收到承建商开具相应金额正式发票后，支付合同总金额的30%。</w:t>
      </w:r>
    </w:p>
    <w:p>
      <w:pPr>
        <w:tabs>
          <w:tab w:val="left" w:pos="780"/>
        </w:tabs>
        <w:spacing w:before="156" w:beforeLines="50" w:line="360" w:lineRule="auto"/>
        <w:ind w:firstLine="420" w:firstLineChars="200"/>
        <w:outlineLvl w:val="0"/>
        <w:rPr>
          <w:rFonts w:hint="eastAsia" w:ascii="宋体" w:hAnsi="宋体" w:cs="宋体"/>
          <w:szCs w:val="21"/>
        </w:rPr>
      </w:pPr>
      <w:r>
        <w:rPr>
          <w:rFonts w:hint="eastAsia" w:ascii="宋体" w:hAnsi="宋体" w:cs="宋体"/>
          <w:szCs w:val="21"/>
        </w:rPr>
        <w:t>(二)</w:t>
      </w:r>
      <w:r>
        <w:rPr>
          <w:rFonts w:hint="eastAsia" w:ascii="宋体" w:hAnsi="宋体" w:cs="宋体"/>
          <w:szCs w:val="21"/>
          <w:lang w:val="en-US" w:eastAsia="zh-Hans"/>
        </w:rPr>
        <w:t>系统初验</w:t>
      </w:r>
      <w:r>
        <w:rPr>
          <w:rFonts w:hint="eastAsia" w:ascii="宋体" w:hAnsi="宋体" w:cs="宋体"/>
          <w:szCs w:val="21"/>
        </w:rPr>
        <w:t>通过后，在收到承建商开具相应金额正式发票后，支付合同软件部分金额的65%。</w:t>
      </w:r>
    </w:p>
    <w:p>
      <w:pPr>
        <w:tabs>
          <w:tab w:val="left" w:pos="780"/>
        </w:tabs>
        <w:spacing w:before="156" w:beforeLines="50" w:line="360" w:lineRule="auto"/>
        <w:ind w:firstLine="420" w:firstLineChars="200"/>
        <w:outlineLvl w:val="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Hans"/>
        </w:rPr>
        <w:t>三</w:t>
      </w:r>
      <w:r>
        <w:rPr>
          <w:rFonts w:hint="eastAsia" w:ascii="宋体" w:hAnsi="宋体" w:cs="宋体"/>
          <w:szCs w:val="21"/>
        </w:rPr>
        <w:t>)免费维护期结束后，由院方对承建商在服务期内应完成任务进行确认并通过后1个月内，支付最后一笔尾款。</w:t>
      </w:r>
    </w:p>
    <w:sectPr>
      <w:footerReference r:id="rId3" w:type="default"/>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rPr>
      <w:t>2</w:t>
    </w:r>
    <w:r>
      <w:rPr>
        <w:caps/>
        <w:color w:val="5B9BD5"/>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0F394F"/>
    <w:multiLevelType w:val="multilevel"/>
    <w:tmpl w:val="0F0F394F"/>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3E152B2"/>
    <w:multiLevelType w:val="multilevel"/>
    <w:tmpl w:val="13E152B2"/>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9015205"/>
    <w:multiLevelType w:val="multilevel"/>
    <w:tmpl w:val="29015205"/>
    <w:lvl w:ilvl="0" w:tentative="0">
      <w:start w:val="1"/>
      <w:numFmt w:val="decimal"/>
      <w:pStyle w:val="2"/>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pStyle w:val="5"/>
      <w:lvlText w:val="5.1.1.%4"/>
      <w:lvlJc w:val="left"/>
      <w:pPr>
        <w:ind w:left="864" w:hanging="864"/>
      </w:pPr>
      <w:rPr>
        <w:rFonts w:hint="eastAsia"/>
      </w:rPr>
    </w:lvl>
    <w:lvl w:ilvl="4" w:tentative="0">
      <w:start w:val="1"/>
      <w:numFmt w:val="decimal"/>
      <w:pStyle w:val="6"/>
      <w:lvlText w:val="5.1.1.1.%5"/>
      <w:lvlJc w:val="left"/>
      <w:pPr>
        <w:ind w:left="2142"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3">
    <w:nsid w:val="3EBB3C91"/>
    <w:multiLevelType w:val="multilevel"/>
    <w:tmpl w:val="3EBB3C91"/>
    <w:lvl w:ilvl="0" w:tentative="0">
      <w:start w:val="1"/>
      <w:numFmt w:val="decimal"/>
      <w:pStyle w:val="58"/>
      <w:lvlText w:val="%1. "/>
      <w:lvlJc w:val="left"/>
      <w:pPr>
        <w:ind w:left="420" w:hanging="420"/>
      </w:pPr>
      <w:rPr>
        <w:rFonts w:hint="default" w:ascii="Times New Roman" w:hAnsi="Times New Roman" w:eastAsia="宋体"/>
        <w:b/>
        <w:i w:val="0"/>
      </w:rPr>
    </w:lvl>
    <w:lvl w:ilvl="1" w:tentative="0">
      <w:start w:val="1"/>
      <w:numFmt w:val="decimal"/>
      <w:pStyle w:val="51"/>
      <w:isLgl/>
      <w:suff w:val="space"/>
      <w:lvlText w:val="%1.%2 "/>
      <w:lvlJc w:val="left"/>
      <w:pPr>
        <w:ind w:left="3913" w:hanging="794"/>
      </w:pPr>
      <w:rPr>
        <w:rFonts w:hint="eastAsia"/>
      </w:rPr>
    </w:lvl>
    <w:lvl w:ilvl="2" w:tentative="0">
      <w:start w:val="1"/>
      <w:numFmt w:val="decimal"/>
      <w:pStyle w:val="57"/>
      <w:isLgl/>
      <w:suff w:val="space"/>
      <w:lvlText w:val="%1.%2.%3 "/>
      <w:lvlJc w:val="left"/>
      <w:pPr>
        <w:ind w:left="907" w:hanging="907"/>
      </w:pPr>
      <w:rPr>
        <w:rFonts w:hint="eastAsia"/>
      </w:rPr>
    </w:lvl>
    <w:lvl w:ilvl="3" w:tentative="0">
      <w:start w:val="1"/>
      <w:numFmt w:val="decimal"/>
      <w:pStyle w:val="56"/>
      <w:isLgl/>
      <w:suff w:val="space"/>
      <w:lvlText w:val="%1.%2.%3.%4 "/>
      <w:lvlJc w:val="left"/>
      <w:pPr>
        <w:ind w:left="1021" w:hanging="1021"/>
      </w:pPr>
      <w:rPr>
        <w:rFonts w:hint="eastAsia"/>
      </w:rPr>
    </w:lvl>
    <w:lvl w:ilvl="4" w:tentative="0">
      <w:start w:val="1"/>
      <w:numFmt w:val="decimal"/>
      <w:pStyle w:val="61"/>
      <w:isLgl/>
      <w:suff w:val="space"/>
      <w:lvlText w:val="%1.%2.%3.%4.%5 "/>
      <w:lvlJc w:val="left"/>
      <w:pPr>
        <w:ind w:left="1134" w:hanging="1134"/>
      </w:pPr>
      <w:rPr>
        <w:rFonts w:hint="eastAsia"/>
      </w:rPr>
    </w:lvl>
    <w:lvl w:ilvl="5" w:tentative="0">
      <w:start w:val="1"/>
      <w:numFmt w:val="decimal"/>
      <w:pStyle w:val="55"/>
      <w:isLgl/>
      <w:suff w:val="space"/>
      <w:lvlText w:val="%1.%2.%3.%4.%5.%6 "/>
      <w:lvlJc w:val="left"/>
      <w:pPr>
        <w:ind w:left="1247" w:hanging="1247"/>
      </w:pPr>
      <w:rPr>
        <w:rFonts w:hint="eastAsia"/>
      </w:rPr>
    </w:lvl>
    <w:lvl w:ilvl="6" w:tentative="0">
      <w:start w:val="1"/>
      <w:numFmt w:val="decimal"/>
      <w:lvlRestart w:val="1"/>
      <w:pStyle w:val="50"/>
      <w:isLgl/>
      <w:suff w:val="space"/>
      <w:lvlText w:val="图 %1.%7 "/>
      <w:lvlJc w:val="left"/>
      <w:pPr>
        <w:ind w:left="0" w:firstLine="0"/>
      </w:pPr>
      <w:rPr>
        <w:rFonts w:hint="eastAsia"/>
      </w:rPr>
    </w:lvl>
    <w:lvl w:ilvl="7" w:tentative="0">
      <w:start w:val="1"/>
      <w:numFmt w:val="decimal"/>
      <w:lvlRestart w:val="1"/>
      <w:pStyle w:val="60"/>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424A4138"/>
    <w:multiLevelType w:val="multilevel"/>
    <w:tmpl w:val="424A4138"/>
    <w:lvl w:ilvl="0" w:tentative="0">
      <w:start w:val="1"/>
      <w:numFmt w:val="chineseCountingThousand"/>
      <w:lvlText w:val="%1."/>
      <w:lvlJc w:val="left"/>
      <w:pPr>
        <w:ind w:left="432" w:hanging="432"/>
      </w:pPr>
      <w:rPr>
        <w:rFonts w:hint="eastAsia"/>
        <w:color w:val="auto"/>
        <w:sz w:val="32"/>
        <w:szCs w:val="32"/>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wMzVmOGE3ZTMxMTFlNjU0NGE1OTQ0OTA2ZjlmZTQifQ=="/>
  </w:docVars>
  <w:rsids>
    <w:rsidRoot w:val="00303343"/>
    <w:rsid w:val="000051D2"/>
    <w:rsid w:val="000079DD"/>
    <w:rsid w:val="00012DCC"/>
    <w:rsid w:val="00016B63"/>
    <w:rsid w:val="00042DAC"/>
    <w:rsid w:val="0004334E"/>
    <w:rsid w:val="00046B39"/>
    <w:rsid w:val="00054706"/>
    <w:rsid w:val="00066DE7"/>
    <w:rsid w:val="00070FC0"/>
    <w:rsid w:val="00074EDD"/>
    <w:rsid w:val="000757C1"/>
    <w:rsid w:val="00086AE0"/>
    <w:rsid w:val="0009064D"/>
    <w:rsid w:val="00090A18"/>
    <w:rsid w:val="000B41B7"/>
    <w:rsid w:val="000D5317"/>
    <w:rsid w:val="000E276C"/>
    <w:rsid w:val="00106D68"/>
    <w:rsid w:val="001106CE"/>
    <w:rsid w:val="001107F8"/>
    <w:rsid w:val="001108EE"/>
    <w:rsid w:val="001116F6"/>
    <w:rsid w:val="001161EB"/>
    <w:rsid w:val="00121E40"/>
    <w:rsid w:val="0012322D"/>
    <w:rsid w:val="00123CDF"/>
    <w:rsid w:val="00123FCC"/>
    <w:rsid w:val="00135BF9"/>
    <w:rsid w:val="001365DD"/>
    <w:rsid w:val="00136606"/>
    <w:rsid w:val="00140E0C"/>
    <w:rsid w:val="0014437A"/>
    <w:rsid w:val="00153AB3"/>
    <w:rsid w:val="00156B1F"/>
    <w:rsid w:val="00162D29"/>
    <w:rsid w:val="00164878"/>
    <w:rsid w:val="00165091"/>
    <w:rsid w:val="00171903"/>
    <w:rsid w:val="0018200C"/>
    <w:rsid w:val="001833B6"/>
    <w:rsid w:val="00190CD2"/>
    <w:rsid w:val="00194BFE"/>
    <w:rsid w:val="001A22A1"/>
    <w:rsid w:val="001B4850"/>
    <w:rsid w:val="001B7966"/>
    <w:rsid w:val="001B7D79"/>
    <w:rsid w:val="001C23B3"/>
    <w:rsid w:val="001C7BC6"/>
    <w:rsid w:val="001D4A68"/>
    <w:rsid w:val="001D7749"/>
    <w:rsid w:val="001E3B38"/>
    <w:rsid w:val="00200054"/>
    <w:rsid w:val="002000DE"/>
    <w:rsid w:val="00202EFF"/>
    <w:rsid w:val="0020509F"/>
    <w:rsid w:val="00207A96"/>
    <w:rsid w:val="00214A6F"/>
    <w:rsid w:val="00221F1F"/>
    <w:rsid w:val="00223E47"/>
    <w:rsid w:val="00241D77"/>
    <w:rsid w:val="002509F5"/>
    <w:rsid w:val="002535AA"/>
    <w:rsid w:val="00261CBC"/>
    <w:rsid w:val="00265DE7"/>
    <w:rsid w:val="00270260"/>
    <w:rsid w:val="002722CA"/>
    <w:rsid w:val="002834D3"/>
    <w:rsid w:val="002853BF"/>
    <w:rsid w:val="00292528"/>
    <w:rsid w:val="002A01D6"/>
    <w:rsid w:val="002A4778"/>
    <w:rsid w:val="002C53D1"/>
    <w:rsid w:val="002D6BE1"/>
    <w:rsid w:val="002F31F1"/>
    <w:rsid w:val="003024F8"/>
    <w:rsid w:val="00303343"/>
    <w:rsid w:val="00303CAB"/>
    <w:rsid w:val="003042A2"/>
    <w:rsid w:val="00304636"/>
    <w:rsid w:val="00311322"/>
    <w:rsid w:val="00311AC7"/>
    <w:rsid w:val="00314487"/>
    <w:rsid w:val="00314A5A"/>
    <w:rsid w:val="00322973"/>
    <w:rsid w:val="003325F0"/>
    <w:rsid w:val="00341038"/>
    <w:rsid w:val="00352E7C"/>
    <w:rsid w:val="00353276"/>
    <w:rsid w:val="00360458"/>
    <w:rsid w:val="00366980"/>
    <w:rsid w:val="00370A5D"/>
    <w:rsid w:val="003802E2"/>
    <w:rsid w:val="00385E95"/>
    <w:rsid w:val="00385FED"/>
    <w:rsid w:val="00397B7E"/>
    <w:rsid w:val="003A7269"/>
    <w:rsid w:val="003C0FB7"/>
    <w:rsid w:val="003C6D81"/>
    <w:rsid w:val="003D0F80"/>
    <w:rsid w:val="003D2595"/>
    <w:rsid w:val="003E7083"/>
    <w:rsid w:val="003F3286"/>
    <w:rsid w:val="003F629F"/>
    <w:rsid w:val="00403938"/>
    <w:rsid w:val="00413DA3"/>
    <w:rsid w:val="00414171"/>
    <w:rsid w:val="0041787F"/>
    <w:rsid w:val="00423450"/>
    <w:rsid w:val="0042702D"/>
    <w:rsid w:val="00435C81"/>
    <w:rsid w:val="0044060A"/>
    <w:rsid w:val="00440F72"/>
    <w:rsid w:val="004565AA"/>
    <w:rsid w:val="00456A2C"/>
    <w:rsid w:val="004630DC"/>
    <w:rsid w:val="00474AE0"/>
    <w:rsid w:val="0047796F"/>
    <w:rsid w:val="00482931"/>
    <w:rsid w:val="00495574"/>
    <w:rsid w:val="004A44FF"/>
    <w:rsid w:val="004B4A3F"/>
    <w:rsid w:val="004C2C5B"/>
    <w:rsid w:val="004E2D8F"/>
    <w:rsid w:val="004E5E61"/>
    <w:rsid w:val="004F1410"/>
    <w:rsid w:val="00500264"/>
    <w:rsid w:val="00510B1E"/>
    <w:rsid w:val="005120A9"/>
    <w:rsid w:val="00517D7C"/>
    <w:rsid w:val="00520646"/>
    <w:rsid w:val="0052176F"/>
    <w:rsid w:val="0052604B"/>
    <w:rsid w:val="0053088D"/>
    <w:rsid w:val="00534BF6"/>
    <w:rsid w:val="00537CDE"/>
    <w:rsid w:val="005409FC"/>
    <w:rsid w:val="005563D3"/>
    <w:rsid w:val="00575F76"/>
    <w:rsid w:val="005766CE"/>
    <w:rsid w:val="00580F0E"/>
    <w:rsid w:val="00591388"/>
    <w:rsid w:val="0059358B"/>
    <w:rsid w:val="005944F9"/>
    <w:rsid w:val="00596428"/>
    <w:rsid w:val="00596CC5"/>
    <w:rsid w:val="005A4D1C"/>
    <w:rsid w:val="005B046D"/>
    <w:rsid w:val="005B33AE"/>
    <w:rsid w:val="005B34DA"/>
    <w:rsid w:val="005C49D7"/>
    <w:rsid w:val="005C60FB"/>
    <w:rsid w:val="005C7EF5"/>
    <w:rsid w:val="005D1C7F"/>
    <w:rsid w:val="005D2402"/>
    <w:rsid w:val="005D2BF6"/>
    <w:rsid w:val="005D3A60"/>
    <w:rsid w:val="005E7C53"/>
    <w:rsid w:val="005F0356"/>
    <w:rsid w:val="005F73BC"/>
    <w:rsid w:val="00600923"/>
    <w:rsid w:val="006053FC"/>
    <w:rsid w:val="00612F3F"/>
    <w:rsid w:val="006146A2"/>
    <w:rsid w:val="00620E68"/>
    <w:rsid w:val="00623637"/>
    <w:rsid w:val="006279C6"/>
    <w:rsid w:val="00644F1D"/>
    <w:rsid w:val="00646B59"/>
    <w:rsid w:val="006604C2"/>
    <w:rsid w:val="006861F5"/>
    <w:rsid w:val="00697FBB"/>
    <w:rsid w:val="006B2085"/>
    <w:rsid w:val="006B21B8"/>
    <w:rsid w:val="006B7B58"/>
    <w:rsid w:val="006C36EB"/>
    <w:rsid w:val="006D4B15"/>
    <w:rsid w:val="006D59F7"/>
    <w:rsid w:val="006E5E07"/>
    <w:rsid w:val="006F0434"/>
    <w:rsid w:val="00701D12"/>
    <w:rsid w:val="0070239F"/>
    <w:rsid w:val="0072309C"/>
    <w:rsid w:val="0072695B"/>
    <w:rsid w:val="0074224C"/>
    <w:rsid w:val="00750A70"/>
    <w:rsid w:val="00752912"/>
    <w:rsid w:val="007556BE"/>
    <w:rsid w:val="007621CC"/>
    <w:rsid w:val="0076668A"/>
    <w:rsid w:val="00784C08"/>
    <w:rsid w:val="00785EDF"/>
    <w:rsid w:val="00786A29"/>
    <w:rsid w:val="00795F59"/>
    <w:rsid w:val="007C0A5B"/>
    <w:rsid w:val="007D22AB"/>
    <w:rsid w:val="007E71E6"/>
    <w:rsid w:val="007F5726"/>
    <w:rsid w:val="008050A1"/>
    <w:rsid w:val="008168FB"/>
    <w:rsid w:val="00822BA6"/>
    <w:rsid w:val="008419E9"/>
    <w:rsid w:val="008548FB"/>
    <w:rsid w:val="008623FD"/>
    <w:rsid w:val="00866774"/>
    <w:rsid w:val="00873B97"/>
    <w:rsid w:val="008A62AC"/>
    <w:rsid w:val="008B2206"/>
    <w:rsid w:val="008C255D"/>
    <w:rsid w:val="008D3291"/>
    <w:rsid w:val="008D59AA"/>
    <w:rsid w:val="008E145D"/>
    <w:rsid w:val="008E2B56"/>
    <w:rsid w:val="008E69C8"/>
    <w:rsid w:val="00900232"/>
    <w:rsid w:val="00900BAA"/>
    <w:rsid w:val="00903734"/>
    <w:rsid w:val="00903878"/>
    <w:rsid w:val="00903CF6"/>
    <w:rsid w:val="009052C7"/>
    <w:rsid w:val="00905FFA"/>
    <w:rsid w:val="0092017A"/>
    <w:rsid w:val="00922032"/>
    <w:rsid w:val="00925C23"/>
    <w:rsid w:val="00927E08"/>
    <w:rsid w:val="009303FA"/>
    <w:rsid w:val="00941F0C"/>
    <w:rsid w:val="00943004"/>
    <w:rsid w:val="00966A88"/>
    <w:rsid w:val="00973A47"/>
    <w:rsid w:val="00981ED8"/>
    <w:rsid w:val="009822C7"/>
    <w:rsid w:val="00982AA3"/>
    <w:rsid w:val="009863EF"/>
    <w:rsid w:val="00986A41"/>
    <w:rsid w:val="0098719A"/>
    <w:rsid w:val="00991FF2"/>
    <w:rsid w:val="0099315B"/>
    <w:rsid w:val="00995DD9"/>
    <w:rsid w:val="009A7DF0"/>
    <w:rsid w:val="009B4476"/>
    <w:rsid w:val="009C1F02"/>
    <w:rsid w:val="009C3783"/>
    <w:rsid w:val="009C4E7E"/>
    <w:rsid w:val="009D6951"/>
    <w:rsid w:val="009D7DD1"/>
    <w:rsid w:val="009E0351"/>
    <w:rsid w:val="009E214B"/>
    <w:rsid w:val="009E53AF"/>
    <w:rsid w:val="009F0270"/>
    <w:rsid w:val="009F61FA"/>
    <w:rsid w:val="00A05796"/>
    <w:rsid w:val="00A13CB0"/>
    <w:rsid w:val="00A14FD8"/>
    <w:rsid w:val="00A22CA1"/>
    <w:rsid w:val="00A4595D"/>
    <w:rsid w:val="00A51146"/>
    <w:rsid w:val="00A61D3A"/>
    <w:rsid w:val="00A66833"/>
    <w:rsid w:val="00A70DCF"/>
    <w:rsid w:val="00A72437"/>
    <w:rsid w:val="00A73FDF"/>
    <w:rsid w:val="00A824B9"/>
    <w:rsid w:val="00A870DD"/>
    <w:rsid w:val="00A96157"/>
    <w:rsid w:val="00A969AF"/>
    <w:rsid w:val="00A9729E"/>
    <w:rsid w:val="00AA1F69"/>
    <w:rsid w:val="00AB348F"/>
    <w:rsid w:val="00AB7D36"/>
    <w:rsid w:val="00AC1390"/>
    <w:rsid w:val="00AC4663"/>
    <w:rsid w:val="00AE1DD2"/>
    <w:rsid w:val="00AE4106"/>
    <w:rsid w:val="00B12138"/>
    <w:rsid w:val="00B17749"/>
    <w:rsid w:val="00B17AE9"/>
    <w:rsid w:val="00B17C05"/>
    <w:rsid w:val="00B20334"/>
    <w:rsid w:val="00B20819"/>
    <w:rsid w:val="00B225B9"/>
    <w:rsid w:val="00B24AB1"/>
    <w:rsid w:val="00B36BD9"/>
    <w:rsid w:val="00B41A4C"/>
    <w:rsid w:val="00B43095"/>
    <w:rsid w:val="00B446CA"/>
    <w:rsid w:val="00B5093C"/>
    <w:rsid w:val="00B54356"/>
    <w:rsid w:val="00B55FE5"/>
    <w:rsid w:val="00B62917"/>
    <w:rsid w:val="00B74609"/>
    <w:rsid w:val="00B752B2"/>
    <w:rsid w:val="00B80E39"/>
    <w:rsid w:val="00B824A5"/>
    <w:rsid w:val="00B8588F"/>
    <w:rsid w:val="00B858F1"/>
    <w:rsid w:val="00B8684C"/>
    <w:rsid w:val="00BA5A2D"/>
    <w:rsid w:val="00BA5B8F"/>
    <w:rsid w:val="00BB2B54"/>
    <w:rsid w:val="00BC3CA1"/>
    <w:rsid w:val="00BC49E5"/>
    <w:rsid w:val="00BC6DB1"/>
    <w:rsid w:val="00BD3194"/>
    <w:rsid w:val="00BD5FA8"/>
    <w:rsid w:val="00BE23E5"/>
    <w:rsid w:val="00BE31E6"/>
    <w:rsid w:val="00BF757E"/>
    <w:rsid w:val="00BF7C0E"/>
    <w:rsid w:val="00BF7F5A"/>
    <w:rsid w:val="00C17719"/>
    <w:rsid w:val="00C20730"/>
    <w:rsid w:val="00C2470A"/>
    <w:rsid w:val="00C335D8"/>
    <w:rsid w:val="00C50E12"/>
    <w:rsid w:val="00C54491"/>
    <w:rsid w:val="00C71B43"/>
    <w:rsid w:val="00C74D8F"/>
    <w:rsid w:val="00C751A9"/>
    <w:rsid w:val="00C766DD"/>
    <w:rsid w:val="00C76BDF"/>
    <w:rsid w:val="00C775CE"/>
    <w:rsid w:val="00C8030E"/>
    <w:rsid w:val="00C91697"/>
    <w:rsid w:val="00C92EAA"/>
    <w:rsid w:val="00CA148F"/>
    <w:rsid w:val="00CA29F9"/>
    <w:rsid w:val="00CB6B73"/>
    <w:rsid w:val="00CC218D"/>
    <w:rsid w:val="00CC6334"/>
    <w:rsid w:val="00CC677A"/>
    <w:rsid w:val="00CD008E"/>
    <w:rsid w:val="00CD49B4"/>
    <w:rsid w:val="00CD6EDC"/>
    <w:rsid w:val="00CE2D1F"/>
    <w:rsid w:val="00CF1561"/>
    <w:rsid w:val="00CF1A40"/>
    <w:rsid w:val="00CF36EF"/>
    <w:rsid w:val="00CF4AE2"/>
    <w:rsid w:val="00D1110F"/>
    <w:rsid w:val="00D15B10"/>
    <w:rsid w:val="00D23E20"/>
    <w:rsid w:val="00D30FA6"/>
    <w:rsid w:val="00D32842"/>
    <w:rsid w:val="00D407EB"/>
    <w:rsid w:val="00D454AB"/>
    <w:rsid w:val="00D536AB"/>
    <w:rsid w:val="00D54E0C"/>
    <w:rsid w:val="00D5537A"/>
    <w:rsid w:val="00D71136"/>
    <w:rsid w:val="00D77F36"/>
    <w:rsid w:val="00D9057D"/>
    <w:rsid w:val="00DA026E"/>
    <w:rsid w:val="00DA576E"/>
    <w:rsid w:val="00DB0A86"/>
    <w:rsid w:val="00DB57B7"/>
    <w:rsid w:val="00DC33CF"/>
    <w:rsid w:val="00DC3415"/>
    <w:rsid w:val="00DD3DE6"/>
    <w:rsid w:val="00DE4534"/>
    <w:rsid w:val="00DF3D3A"/>
    <w:rsid w:val="00DF4228"/>
    <w:rsid w:val="00E06670"/>
    <w:rsid w:val="00E17266"/>
    <w:rsid w:val="00E47752"/>
    <w:rsid w:val="00E53030"/>
    <w:rsid w:val="00E56652"/>
    <w:rsid w:val="00E62C9E"/>
    <w:rsid w:val="00E63369"/>
    <w:rsid w:val="00E63569"/>
    <w:rsid w:val="00E80756"/>
    <w:rsid w:val="00E81F96"/>
    <w:rsid w:val="00E8302B"/>
    <w:rsid w:val="00E83E34"/>
    <w:rsid w:val="00E847A3"/>
    <w:rsid w:val="00E84F8C"/>
    <w:rsid w:val="00E85360"/>
    <w:rsid w:val="00E85641"/>
    <w:rsid w:val="00E85DA4"/>
    <w:rsid w:val="00E86B42"/>
    <w:rsid w:val="00E95892"/>
    <w:rsid w:val="00E97354"/>
    <w:rsid w:val="00EA6408"/>
    <w:rsid w:val="00EC0483"/>
    <w:rsid w:val="00EC33A4"/>
    <w:rsid w:val="00ED0897"/>
    <w:rsid w:val="00ED73FF"/>
    <w:rsid w:val="00ED7F01"/>
    <w:rsid w:val="00EE4612"/>
    <w:rsid w:val="00EE51DE"/>
    <w:rsid w:val="00EE609F"/>
    <w:rsid w:val="00EE620F"/>
    <w:rsid w:val="00EF5E01"/>
    <w:rsid w:val="00EF6EC0"/>
    <w:rsid w:val="00F02058"/>
    <w:rsid w:val="00F0343C"/>
    <w:rsid w:val="00F04CE5"/>
    <w:rsid w:val="00F13514"/>
    <w:rsid w:val="00F1360F"/>
    <w:rsid w:val="00F16AA8"/>
    <w:rsid w:val="00F21791"/>
    <w:rsid w:val="00F3226A"/>
    <w:rsid w:val="00F33DB0"/>
    <w:rsid w:val="00F45DB8"/>
    <w:rsid w:val="00F54D29"/>
    <w:rsid w:val="00F62BCD"/>
    <w:rsid w:val="00F74B77"/>
    <w:rsid w:val="00F764FE"/>
    <w:rsid w:val="00F80625"/>
    <w:rsid w:val="00F827B6"/>
    <w:rsid w:val="00F92BE5"/>
    <w:rsid w:val="00FA0574"/>
    <w:rsid w:val="00FB68D3"/>
    <w:rsid w:val="00FC4B75"/>
    <w:rsid w:val="00FD6648"/>
    <w:rsid w:val="00FE7554"/>
    <w:rsid w:val="00FF17FE"/>
    <w:rsid w:val="01FB2325"/>
    <w:rsid w:val="023E5FCB"/>
    <w:rsid w:val="02C21699"/>
    <w:rsid w:val="0331086C"/>
    <w:rsid w:val="05C23CDB"/>
    <w:rsid w:val="06356985"/>
    <w:rsid w:val="08AA0601"/>
    <w:rsid w:val="09CF60E2"/>
    <w:rsid w:val="0AC7060C"/>
    <w:rsid w:val="0F4A086B"/>
    <w:rsid w:val="0F7B173B"/>
    <w:rsid w:val="12936293"/>
    <w:rsid w:val="13AC012C"/>
    <w:rsid w:val="14432035"/>
    <w:rsid w:val="16E81F0F"/>
    <w:rsid w:val="17401819"/>
    <w:rsid w:val="19D96F98"/>
    <w:rsid w:val="1AB23A71"/>
    <w:rsid w:val="1C3A1F70"/>
    <w:rsid w:val="1EB67464"/>
    <w:rsid w:val="21ED1C1C"/>
    <w:rsid w:val="27457A1B"/>
    <w:rsid w:val="2A032F4E"/>
    <w:rsid w:val="312F6319"/>
    <w:rsid w:val="31B825D6"/>
    <w:rsid w:val="334C7B1F"/>
    <w:rsid w:val="36581D34"/>
    <w:rsid w:val="36A15F19"/>
    <w:rsid w:val="37971785"/>
    <w:rsid w:val="379A1F38"/>
    <w:rsid w:val="389E342F"/>
    <w:rsid w:val="3A255BB6"/>
    <w:rsid w:val="3F2E63EC"/>
    <w:rsid w:val="42200080"/>
    <w:rsid w:val="43B05002"/>
    <w:rsid w:val="45A33EA7"/>
    <w:rsid w:val="47043625"/>
    <w:rsid w:val="488C513A"/>
    <w:rsid w:val="49034689"/>
    <w:rsid w:val="49C85663"/>
    <w:rsid w:val="54B0031A"/>
    <w:rsid w:val="586C6306"/>
    <w:rsid w:val="5A7A11AE"/>
    <w:rsid w:val="5F3CEA24"/>
    <w:rsid w:val="62B07F22"/>
    <w:rsid w:val="648A1C7E"/>
    <w:rsid w:val="65FD3081"/>
    <w:rsid w:val="68250F7E"/>
    <w:rsid w:val="68AF0A08"/>
    <w:rsid w:val="6E0A10F3"/>
    <w:rsid w:val="70ED41F4"/>
    <w:rsid w:val="7121017E"/>
    <w:rsid w:val="71F31B1A"/>
    <w:rsid w:val="73B837AB"/>
    <w:rsid w:val="75592311"/>
    <w:rsid w:val="76206B93"/>
    <w:rsid w:val="7A911F54"/>
    <w:rsid w:val="7B3B0EE2"/>
    <w:rsid w:val="7BD197DA"/>
    <w:rsid w:val="7C617D99"/>
    <w:rsid w:val="7C706F42"/>
    <w:rsid w:val="7DB12205"/>
    <w:rsid w:val="86AF3F8E"/>
    <w:rsid w:val="BF8D4B54"/>
    <w:rsid w:val="EDF7548B"/>
    <w:rsid w:val="EF3E226A"/>
    <w:rsid w:val="F797118E"/>
    <w:rsid w:val="FFF91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numPr>
        <w:ilvl w:val="0"/>
        <w:numId w:val="1"/>
      </w:numPr>
      <w:spacing w:before="340" w:after="330" w:line="578" w:lineRule="auto"/>
      <w:outlineLvl w:val="0"/>
    </w:pPr>
    <w:rPr>
      <w:b/>
      <w:bCs/>
      <w:kern w:val="44"/>
      <w:sz w:val="44"/>
      <w:szCs w:val="44"/>
      <w:lang w:val="zh-CN"/>
    </w:rPr>
  </w:style>
  <w:style w:type="paragraph" w:styleId="3">
    <w:name w:val="heading 2"/>
    <w:basedOn w:val="1"/>
    <w:next w:val="1"/>
    <w:link w:val="27"/>
    <w:qFormat/>
    <w:uiPriority w:val="0"/>
    <w:pPr>
      <w:keepNext/>
      <w:keepLines/>
      <w:spacing w:before="260" w:after="260" w:line="416" w:lineRule="auto"/>
      <w:outlineLvl w:val="1"/>
    </w:pPr>
    <w:rPr>
      <w:rFonts w:ascii="等线 Light" w:hAnsi="等线 Light" w:eastAsia="等线 Light"/>
      <w:b/>
      <w:bCs/>
      <w:sz w:val="32"/>
      <w:szCs w:val="32"/>
      <w:lang w:val="zh-CN"/>
    </w:rPr>
  </w:style>
  <w:style w:type="paragraph" w:styleId="4">
    <w:name w:val="heading 3"/>
    <w:basedOn w:val="1"/>
    <w:next w:val="1"/>
    <w:link w:val="28"/>
    <w:qFormat/>
    <w:uiPriority w:val="0"/>
    <w:pPr>
      <w:keepNext/>
      <w:keepLines/>
      <w:spacing w:before="260" w:after="260" w:line="416" w:lineRule="auto"/>
      <w:outlineLvl w:val="2"/>
    </w:pPr>
    <w:rPr>
      <w:b/>
      <w:bCs/>
      <w:sz w:val="30"/>
      <w:szCs w:val="30"/>
      <w:lang w:val="zh-CN"/>
    </w:rPr>
  </w:style>
  <w:style w:type="paragraph" w:styleId="5">
    <w:name w:val="heading 4"/>
    <w:basedOn w:val="1"/>
    <w:next w:val="1"/>
    <w:link w:val="29"/>
    <w:qFormat/>
    <w:uiPriority w:val="0"/>
    <w:pPr>
      <w:keepNext/>
      <w:keepLines/>
      <w:numPr>
        <w:ilvl w:val="3"/>
        <w:numId w:val="1"/>
      </w:numPr>
      <w:spacing w:before="280" w:after="290" w:line="376" w:lineRule="auto"/>
      <w:outlineLvl w:val="3"/>
    </w:pPr>
    <w:rPr>
      <w:rFonts w:ascii="宋体" w:hAnsi="宋体"/>
      <w:b/>
      <w:bCs/>
      <w:sz w:val="28"/>
      <w:szCs w:val="28"/>
      <w:lang w:val="zh-CN"/>
    </w:rPr>
  </w:style>
  <w:style w:type="paragraph" w:styleId="6">
    <w:name w:val="heading 5"/>
    <w:basedOn w:val="1"/>
    <w:next w:val="1"/>
    <w:link w:val="25"/>
    <w:qFormat/>
    <w:uiPriority w:val="0"/>
    <w:pPr>
      <w:keepNext/>
      <w:keepLines/>
      <w:numPr>
        <w:ilvl w:val="4"/>
        <w:numId w:val="1"/>
      </w:numPr>
      <w:spacing w:before="280" w:after="290" w:line="376" w:lineRule="auto"/>
      <w:outlineLvl w:val="4"/>
    </w:pPr>
    <w:rPr>
      <w:b/>
      <w:bCs/>
      <w:sz w:val="28"/>
      <w:szCs w:val="28"/>
      <w:lang w:val="zh-CN"/>
    </w:rPr>
  </w:style>
  <w:style w:type="paragraph" w:styleId="7">
    <w:name w:val="heading 6"/>
    <w:basedOn w:val="1"/>
    <w:next w:val="1"/>
    <w:link w:val="30"/>
    <w:qFormat/>
    <w:uiPriority w:val="0"/>
    <w:pPr>
      <w:keepNext/>
      <w:keepLines/>
      <w:numPr>
        <w:ilvl w:val="5"/>
        <w:numId w:val="1"/>
      </w:numPr>
      <w:spacing w:before="240" w:after="64" w:line="320" w:lineRule="auto"/>
      <w:outlineLvl w:val="5"/>
    </w:pPr>
    <w:rPr>
      <w:rFonts w:ascii="等线 Light" w:hAnsi="等线 Light" w:eastAsia="等线 Light"/>
      <w:b/>
      <w:bCs/>
      <w:sz w:val="24"/>
      <w:lang w:val="zh-CN"/>
    </w:rPr>
  </w:style>
  <w:style w:type="paragraph" w:styleId="8">
    <w:name w:val="heading 7"/>
    <w:basedOn w:val="1"/>
    <w:next w:val="1"/>
    <w:link w:val="31"/>
    <w:qFormat/>
    <w:uiPriority w:val="0"/>
    <w:pPr>
      <w:keepNext/>
      <w:keepLines/>
      <w:numPr>
        <w:ilvl w:val="6"/>
        <w:numId w:val="1"/>
      </w:numPr>
      <w:spacing w:before="240" w:after="64" w:line="320" w:lineRule="auto"/>
      <w:outlineLvl w:val="6"/>
    </w:pPr>
    <w:rPr>
      <w:b/>
      <w:bCs/>
      <w:sz w:val="24"/>
      <w:lang w:val="zh-CN"/>
    </w:rPr>
  </w:style>
  <w:style w:type="paragraph" w:styleId="9">
    <w:name w:val="heading 8"/>
    <w:basedOn w:val="1"/>
    <w:next w:val="1"/>
    <w:link w:val="32"/>
    <w:qFormat/>
    <w:uiPriority w:val="0"/>
    <w:pPr>
      <w:keepNext/>
      <w:keepLines/>
      <w:numPr>
        <w:ilvl w:val="7"/>
        <w:numId w:val="1"/>
      </w:numPr>
      <w:spacing w:before="240" w:after="64" w:line="320" w:lineRule="auto"/>
      <w:outlineLvl w:val="7"/>
    </w:pPr>
    <w:rPr>
      <w:rFonts w:ascii="等线 Light" w:hAnsi="等线 Light" w:eastAsia="等线 Light"/>
      <w:sz w:val="24"/>
      <w:lang w:val="zh-CN"/>
    </w:rPr>
  </w:style>
  <w:style w:type="paragraph" w:styleId="10">
    <w:name w:val="heading 9"/>
    <w:basedOn w:val="1"/>
    <w:next w:val="1"/>
    <w:link w:val="33"/>
    <w:qFormat/>
    <w:uiPriority w:val="0"/>
    <w:pPr>
      <w:keepNext/>
      <w:keepLines/>
      <w:numPr>
        <w:ilvl w:val="8"/>
        <w:numId w:val="1"/>
      </w:numPr>
      <w:spacing w:before="240" w:after="64" w:line="320" w:lineRule="auto"/>
      <w:outlineLvl w:val="8"/>
    </w:pPr>
    <w:rPr>
      <w:rFonts w:ascii="等线 Light" w:hAnsi="等线 Light" w:eastAsia="等线 Light"/>
      <w:szCs w:val="21"/>
      <w:lang w:val="zh-CN"/>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11">
    <w:name w:val="Normal Indent"/>
    <w:basedOn w:val="1"/>
    <w:link w:val="34"/>
    <w:qFormat/>
    <w:uiPriority w:val="99"/>
    <w:pPr>
      <w:spacing w:before="120" w:beforeLines="50" w:line="360" w:lineRule="auto"/>
      <w:ind w:firstLine="512" w:firstLineChars="200"/>
    </w:pPr>
    <w:rPr>
      <w:spacing w:val="8"/>
      <w:sz w:val="24"/>
      <w:szCs w:val="20"/>
    </w:rPr>
  </w:style>
  <w:style w:type="paragraph" w:styleId="12">
    <w:name w:val="annotation text"/>
    <w:basedOn w:val="1"/>
    <w:link w:val="35"/>
    <w:unhideWhenUsed/>
    <w:qFormat/>
    <w:uiPriority w:val="0"/>
    <w:pPr>
      <w:jc w:val="left"/>
    </w:pPr>
    <w:rPr>
      <w:kern w:val="0"/>
      <w:sz w:val="20"/>
      <w:lang w:val="zh-CN"/>
    </w:rPr>
  </w:style>
  <w:style w:type="paragraph" w:styleId="13">
    <w:name w:val="Plain Text"/>
    <w:basedOn w:val="1"/>
    <w:link w:val="36"/>
    <w:qFormat/>
    <w:uiPriority w:val="0"/>
    <w:rPr>
      <w:rFonts w:ascii="Calibri" w:hAnsi="Courier New"/>
      <w:szCs w:val="20"/>
      <w:lang w:val="zh-CN"/>
    </w:rPr>
  </w:style>
  <w:style w:type="paragraph" w:styleId="14">
    <w:name w:val="Balloon Text"/>
    <w:basedOn w:val="1"/>
    <w:link w:val="37"/>
    <w:qFormat/>
    <w:uiPriority w:val="0"/>
    <w:rPr>
      <w:sz w:val="18"/>
      <w:szCs w:val="18"/>
      <w:lang w:val="zh-CN"/>
    </w:rPr>
  </w:style>
  <w:style w:type="paragraph" w:styleId="15">
    <w:name w:val="footer"/>
    <w:basedOn w:val="1"/>
    <w:link w:val="38"/>
    <w:qFormat/>
    <w:uiPriority w:val="0"/>
    <w:pPr>
      <w:tabs>
        <w:tab w:val="center" w:pos="4153"/>
        <w:tab w:val="right" w:pos="8306"/>
      </w:tabs>
      <w:snapToGrid w:val="0"/>
      <w:jc w:val="left"/>
    </w:pPr>
    <w:rPr>
      <w:sz w:val="18"/>
      <w:szCs w:val="18"/>
      <w:lang w:val="zh-CN"/>
    </w:rPr>
  </w:style>
  <w:style w:type="paragraph" w:styleId="16">
    <w:name w:val="header"/>
    <w:basedOn w:val="1"/>
    <w:link w:val="39"/>
    <w:qFormat/>
    <w:uiPriority w:val="0"/>
    <w:pPr>
      <w:pBdr>
        <w:bottom w:val="single" w:color="auto" w:sz="6" w:space="1"/>
      </w:pBdr>
      <w:tabs>
        <w:tab w:val="center" w:pos="4153"/>
        <w:tab w:val="right" w:pos="8306"/>
      </w:tabs>
      <w:snapToGrid w:val="0"/>
      <w:jc w:val="center"/>
    </w:pPr>
    <w:rPr>
      <w:sz w:val="18"/>
      <w:szCs w:val="18"/>
      <w:lang w:val="zh-CN"/>
    </w:rPr>
  </w:style>
  <w:style w:type="paragraph" w:styleId="17">
    <w:name w:val="Subtitle"/>
    <w:basedOn w:val="1"/>
    <w:next w:val="1"/>
    <w:link w:val="64"/>
    <w:qFormat/>
    <w:uiPriority w:val="0"/>
    <w:pPr>
      <w:spacing w:before="240" w:beforeLines="50" w:after="60" w:line="312" w:lineRule="auto"/>
      <w:ind w:firstLine="200" w:firstLineChars="200"/>
      <w:jc w:val="center"/>
      <w:outlineLvl w:val="1"/>
    </w:pPr>
    <w:rPr>
      <w:rFonts w:ascii="Cambria" w:hAnsi="Cambria"/>
      <w:b/>
      <w:bCs/>
      <w:kern w:val="28"/>
      <w:sz w:val="32"/>
      <w:szCs w:val="32"/>
      <w:lang w:eastAsia="en-US"/>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0">
    <w:name w:val="Table Grid"/>
    <w:basedOn w:val="1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FollowedHyperlink"/>
    <w:basedOn w:val="21"/>
    <w:qFormat/>
    <w:uiPriority w:val="0"/>
    <w:rPr>
      <w:color w:val="800080"/>
      <w:u w:val="single"/>
    </w:rPr>
  </w:style>
  <w:style w:type="character" w:styleId="23">
    <w:name w:val="Hyperlink"/>
    <w:qFormat/>
    <w:uiPriority w:val="0"/>
    <w:rPr>
      <w:color w:val="0563C1"/>
      <w:u w:val="single"/>
    </w:rPr>
  </w:style>
  <w:style w:type="character" w:styleId="24">
    <w:name w:val="annotation reference"/>
    <w:unhideWhenUsed/>
    <w:qFormat/>
    <w:uiPriority w:val="99"/>
    <w:rPr>
      <w:sz w:val="21"/>
      <w:szCs w:val="21"/>
    </w:rPr>
  </w:style>
  <w:style w:type="character" w:customStyle="1" w:styleId="25">
    <w:name w:val="标题 5 字符"/>
    <w:link w:val="6"/>
    <w:qFormat/>
    <w:uiPriority w:val="0"/>
    <w:rPr>
      <w:b/>
      <w:bCs/>
      <w:kern w:val="2"/>
      <w:sz w:val="28"/>
      <w:szCs w:val="28"/>
    </w:rPr>
  </w:style>
  <w:style w:type="character" w:customStyle="1" w:styleId="26">
    <w:name w:val="标题 1 字符"/>
    <w:link w:val="2"/>
    <w:qFormat/>
    <w:uiPriority w:val="0"/>
    <w:rPr>
      <w:b/>
      <w:bCs/>
      <w:kern w:val="44"/>
      <w:sz w:val="44"/>
      <w:szCs w:val="44"/>
      <w:lang w:val="zh-CN" w:eastAsia="zh-CN"/>
    </w:rPr>
  </w:style>
  <w:style w:type="character" w:customStyle="1" w:styleId="27">
    <w:name w:val="标题 2 字符"/>
    <w:link w:val="3"/>
    <w:qFormat/>
    <w:uiPriority w:val="0"/>
    <w:rPr>
      <w:rFonts w:ascii="等线 Light" w:hAnsi="等线 Light" w:eastAsia="等线 Light" w:cs="Times New Roman"/>
      <w:b/>
      <w:bCs/>
      <w:kern w:val="2"/>
      <w:sz w:val="32"/>
      <w:szCs w:val="32"/>
    </w:rPr>
  </w:style>
  <w:style w:type="character" w:customStyle="1" w:styleId="28">
    <w:name w:val="标题 3 字符"/>
    <w:link w:val="4"/>
    <w:qFormat/>
    <w:uiPriority w:val="0"/>
    <w:rPr>
      <w:b/>
      <w:bCs/>
      <w:kern w:val="2"/>
      <w:sz w:val="30"/>
      <w:szCs w:val="30"/>
    </w:rPr>
  </w:style>
  <w:style w:type="character" w:customStyle="1" w:styleId="29">
    <w:name w:val="标题 4 字符"/>
    <w:link w:val="5"/>
    <w:qFormat/>
    <w:uiPriority w:val="0"/>
    <w:rPr>
      <w:rFonts w:ascii="宋体" w:hAnsi="宋体"/>
      <w:b/>
      <w:bCs/>
      <w:kern w:val="2"/>
      <w:sz w:val="28"/>
      <w:szCs w:val="28"/>
    </w:rPr>
  </w:style>
  <w:style w:type="character" w:customStyle="1" w:styleId="30">
    <w:name w:val="标题 6 字符"/>
    <w:link w:val="7"/>
    <w:semiHidden/>
    <w:qFormat/>
    <w:uiPriority w:val="0"/>
    <w:rPr>
      <w:rFonts w:ascii="等线 Light" w:hAnsi="等线 Light" w:eastAsia="等线 Light"/>
      <w:b/>
      <w:bCs/>
      <w:kern w:val="2"/>
      <w:sz w:val="24"/>
      <w:szCs w:val="24"/>
    </w:rPr>
  </w:style>
  <w:style w:type="character" w:customStyle="1" w:styleId="31">
    <w:name w:val="标题 7 字符"/>
    <w:link w:val="8"/>
    <w:semiHidden/>
    <w:qFormat/>
    <w:uiPriority w:val="0"/>
    <w:rPr>
      <w:b/>
      <w:bCs/>
      <w:kern w:val="2"/>
      <w:sz w:val="24"/>
      <w:szCs w:val="24"/>
    </w:rPr>
  </w:style>
  <w:style w:type="character" w:customStyle="1" w:styleId="32">
    <w:name w:val="标题 8 字符"/>
    <w:link w:val="9"/>
    <w:semiHidden/>
    <w:qFormat/>
    <w:uiPriority w:val="0"/>
    <w:rPr>
      <w:rFonts w:ascii="等线 Light" w:hAnsi="等线 Light" w:eastAsia="等线 Light"/>
      <w:kern w:val="2"/>
      <w:sz w:val="24"/>
      <w:szCs w:val="24"/>
    </w:rPr>
  </w:style>
  <w:style w:type="character" w:customStyle="1" w:styleId="33">
    <w:name w:val="标题 9 字符"/>
    <w:link w:val="10"/>
    <w:semiHidden/>
    <w:qFormat/>
    <w:uiPriority w:val="0"/>
    <w:rPr>
      <w:rFonts w:ascii="等线 Light" w:hAnsi="等线 Light" w:eastAsia="等线 Light"/>
      <w:kern w:val="2"/>
      <w:sz w:val="21"/>
      <w:szCs w:val="21"/>
    </w:rPr>
  </w:style>
  <w:style w:type="character" w:customStyle="1" w:styleId="34">
    <w:name w:val="正文缩进 字符"/>
    <w:link w:val="11"/>
    <w:qFormat/>
    <w:uiPriority w:val="99"/>
    <w:rPr>
      <w:spacing w:val="8"/>
      <w:kern w:val="2"/>
      <w:sz w:val="24"/>
      <w:lang w:val="en-US" w:eastAsia="zh-CN"/>
    </w:rPr>
  </w:style>
  <w:style w:type="character" w:customStyle="1" w:styleId="35">
    <w:name w:val="批注文字 字符1"/>
    <w:link w:val="12"/>
    <w:qFormat/>
    <w:uiPriority w:val="0"/>
    <w:rPr>
      <w:szCs w:val="24"/>
    </w:rPr>
  </w:style>
  <w:style w:type="character" w:customStyle="1" w:styleId="36">
    <w:name w:val="纯文本 字符"/>
    <w:link w:val="13"/>
    <w:qFormat/>
    <w:uiPriority w:val="0"/>
    <w:rPr>
      <w:rFonts w:ascii="Calibri" w:hAnsi="Courier New"/>
      <w:kern w:val="2"/>
      <w:sz w:val="21"/>
    </w:rPr>
  </w:style>
  <w:style w:type="character" w:customStyle="1" w:styleId="37">
    <w:name w:val="批注框文本 字符"/>
    <w:link w:val="14"/>
    <w:qFormat/>
    <w:uiPriority w:val="0"/>
    <w:rPr>
      <w:kern w:val="2"/>
      <w:sz w:val="18"/>
      <w:szCs w:val="18"/>
    </w:rPr>
  </w:style>
  <w:style w:type="character" w:customStyle="1" w:styleId="38">
    <w:name w:val="页脚 字符1"/>
    <w:link w:val="15"/>
    <w:qFormat/>
    <w:uiPriority w:val="0"/>
    <w:rPr>
      <w:kern w:val="2"/>
      <w:sz w:val="18"/>
      <w:szCs w:val="18"/>
    </w:rPr>
  </w:style>
  <w:style w:type="character" w:customStyle="1" w:styleId="39">
    <w:name w:val="页眉 字符"/>
    <w:link w:val="16"/>
    <w:qFormat/>
    <w:uiPriority w:val="0"/>
    <w:rPr>
      <w:kern w:val="2"/>
      <w:sz w:val="18"/>
      <w:szCs w:val="18"/>
    </w:rPr>
  </w:style>
  <w:style w:type="character" w:customStyle="1" w:styleId="40">
    <w:name w:val="已访问的超链接1"/>
    <w:qFormat/>
    <w:uiPriority w:val="0"/>
    <w:rPr>
      <w:color w:val="800080"/>
      <w:u w:val="single"/>
    </w:rPr>
  </w:style>
  <w:style w:type="character" w:customStyle="1" w:styleId="41">
    <w:name w:val="正文（首行缩进2字符） Char"/>
    <w:link w:val="42"/>
    <w:qFormat/>
    <w:uiPriority w:val="0"/>
    <w:rPr>
      <w:kern w:val="2"/>
      <w:sz w:val="24"/>
      <w:szCs w:val="24"/>
    </w:rPr>
  </w:style>
  <w:style w:type="paragraph" w:customStyle="1" w:styleId="42">
    <w:name w:val="正文（首行缩进2字符）"/>
    <w:basedOn w:val="1"/>
    <w:link w:val="41"/>
    <w:qFormat/>
    <w:uiPriority w:val="0"/>
    <w:pPr>
      <w:spacing w:line="360" w:lineRule="auto"/>
      <w:ind w:firstLine="480" w:firstLineChars="200"/>
    </w:pPr>
    <w:rPr>
      <w:sz w:val="24"/>
      <w:lang w:val="zh-CN"/>
    </w:rPr>
  </w:style>
  <w:style w:type="character" w:customStyle="1" w:styleId="43">
    <w:name w:val="段落 Char1"/>
    <w:link w:val="44"/>
    <w:qFormat/>
    <w:uiPriority w:val="0"/>
    <w:rPr>
      <w:rFonts w:eastAsia="仿宋_GB2312"/>
      <w:sz w:val="24"/>
      <w:szCs w:val="24"/>
      <w:lang w:val="en-US" w:eastAsia="zh-CN" w:bidi="ar-SA"/>
    </w:rPr>
  </w:style>
  <w:style w:type="paragraph" w:customStyle="1" w:styleId="44">
    <w:name w:val="段落"/>
    <w:link w:val="43"/>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45">
    <w:name w:val="正文（安华金和） Char"/>
    <w:link w:val="46"/>
    <w:qFormat/>
    <w:uiPriority w:val="0"/>
    <w:rPr>
      <w:rFonts w:ascii="Arial" w:hAnsi="Arial"/>
      <w:sz w:val="21"/>
      <w:szCs w:val="21"/>
      <w:lang w:val="en-US" w:eastAsia="zh-CN" w:bidi="ar-SA"/>
    </w:rPr>
  </w:style>
  <w:style w:type="paragraph" w:customStyle="1" w:styleId="46">
    <w:name w:val="正文（安华金和）"/>
    <w:link w:val="45"/>
    <w:qFormat/>
    <w:uiPriority w:val="0"/>
    <w:pPr>
      <w:widowControl w:val="0"/>
      <w:spacing w:line="360" w:lineRule="auto"/>
      <w:ind w:firstLine="200"/>
    </w:pPr>
    <w:rPr>
      <w:rFonts w:ascii="Arial" w:hAnsi="Arial" w:eastAsia="宋体" w:cs="Times New Roman"/>
      <w:sz w:val="21"/>
      <w:szCs w:val="21"/>
      <w:lang w:val="en-US" w:eastAsia="zh-CN" w:bidi="ar-SA"/>
    </w:rPr>
  </w:style>
  <w:style w:type="character" w:customStyle="1" w:styleId="47">
    <w:name w:val="页脚 字符"/>
    <w:qFormat/>
    <w:uiPriority w:val="99"/>
  </w:style>
  <w:style w:type="character" w:customStyle="1" w:styleId="48">
    <w:name w:val="列表段落 字符"/>
    <w:link w:val="49"/>
    <w:qFormat/>
    <w:uiPriority w:val="34"/>
    <w:rPr>
      <w:rFonts w:ascii="等线" w:hAnsi="等线" w:eastAsia="等线"/>
      <w:kern w:val="2"/>
      <w:sz w:val="21"/>
      <w:szCs w:val="22"/>
    </w:rPr>
  </w:style>
  <w:style w:type="paragraph" w:customStyle="1" w:styleId="49">
    <w:name w:val="List Paragraph"/>
    <w:basedOn w:val="1"/>
    <w:link w:val="48"/>
    <w:qFormat/>
    <w:uiPriority w:val="34"/>
    <w:pPr>
      <w:ind w:firstLine="420" w:firstLineChars="200"/>
    </w:pPr>
    <w:rPr>
      <w:rFonts w:ascii="等线" w:hAnsi="等线" w:eastAsia="等线"/>
      <w:szCs w:val="22"/>
      <w:lang w:val="zh-CN"/>
    </w:rPr>
  </w:style>
  <w:style w:type="paragraph" w:customStyle="1" w:styleId="50">
    <w:name w:val="插图标注（安华金和）"/>
    <w:next w:val="1"/>
    <w:qFormat/>
    <w:uiPriority w:val="0"/>
    <w:pPr>
      <w:numPr>
        <w:ilvl w:val="6"/>
        <w:numId w:val="2"/>
      </w:numPr>
      <w:spacing w:after="156"/>
      <w:jc w:val="center"/>
    </w:pPr>
    <w:rPr>
      <w:rFonts w:ascii="Arial" w:hAnsi="Arial" w:eastAsia="宋体" w:cs="Arial"/>
      <w:sz w:val="21"/>
      <w:szCs w:val="21"/>
      <w:lang w:val="en-US" w:eastAsia="zh-CN" w:bidi="ar-SA"/>
    </w:rPr>
  </w:style>
  <w:style w:type="paragraph" w:customStyle="1" w:styleId="51">
    <w:name w:val="标题 2（DBSec）"/>
    <w:basedOn w:val="3"/>
    <w:next w:val="1"/>
    <w:qFormat/>
    <w:uiPriority w:val="0"/>
    <w:pPr>
      <w:numPr>
        <w:ilvl w:val="1"/>
        <w:numId w:val="2"/>
      </w:numPr>
      <w:spacing w:line="415" w:lineRule="auto"/>
      <w:ind w:left="794" w:leftChars="200"/>
      <w:jc w:val="left"/>
    </w:pPr>
    <w:rPr>
      <w:rFonts w:ascii="Arial" w:hAnsi="Arial" w:eastAsia="黑体"/>
      <w:bCs w:val="0"/>
    </w:rPr>
  </w:style>
  <w:style w:type="paragraph" w:customStyle="1" w:styleId="52">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3">
    <w:name w:val="_Style 27"/>
    <w:basedOn w:val="1"/>
    <w:next w:val="49"/>
    <w:qFormat/>
    <w:uiPriority w:val="34"/>
    <w:pPr>
      <w:widowControl/>
      <w:spacing w:line="240" w:lineRule="atLeast"/>
      <w:ind w:firstLine="420" w:firstLineChars="200"/>
    </w:pPr>
    <w:rPr>
      <w:rFonts w:ascii="Arial" w:hAnsi="Arial"/>
      <w:kern w:val="0"/>
      <w:szCs w:val="21"/>
    </w:rPr>
  </w:style>
  <w:style w:type="paragraph" w:customStyle="1" w:styleId="54">
    <w:name w:val="列出段落2"/>
    <w:basedOn w:val="1"/>
    <w:qFormat/>
    <w:uiPriority w:val="99"/>
    <w:pPr>
      <w:widowControl/>
      <w:spacing w:line="240" w:lineRule="atLeast"/>
      <w:ind w:firstLine="420" w:firstLineChars="200"/>
    </w:pPr>
    <w:rPr>
      <w:rFonts w:ascii="Arial" w:hAnsi="Arial"/>
      <w:kern w:val="0"/>
      <w:szCs w:val="21"/>
    </w:rPr>
  </w:style>
  <w:style w:type="paragraph" w:customStyle="1" w:styleId="55">
    <w:name w:val="标题 6（有编号）（安华金和）"/>
    <w:basedOn w:val="1"/>
    <w:next w:val="1"/>
    <w:qFormat/>
    <w:uiPriority w:val="0"/>
    <w:pPr>
      <w:keepNext/>
      <w:keepLines/>
      <w:numPr>
        <w:ilvl w:val="5"/>
        <w:numId w:val="2"/>
      </w:numPr>
      <w:spacing w:before="240" w:after="64" w:line="319" w:lineRule="auto"/>
      <w:ind w:left="0"/>
      <w:jc w:val="left"/>
      <w:outlineLvl w:val="5"/>
    </w:pPr>
    <w:rPr>
      <w:rFonts w:ascii="Arial" w:hAnsi="Arial" w:eastAsia="黑体"/>
      <w:b/>
      <w:kern w:val="0"/>
    </w:rPr>
  </w:style>
  <w:style w:type="paragraph" w:customStyle="1" w:styleId="56">
    <w:name w:val="标题 4（DBSec）"/>
    <w:basedOn w:val="5"/>
    <w:next w:val="1"/>
    <w:qFormat/>
    <w:uiPriority w:val="0"/>
    <w:pPr>
      <w:widowControl/>
      <w:numPr>
        <w:numId w:val="2"/>
      </w:numPr>
      <w:spacing w:after="156"/>
      <w:ind w:left="200" w:leftChars="200"/>
      <w:jc w:val="left"/>
    </w:pPr>
    <w:rPr>
      <w:rFonts w:ascii="Arial" w:hAnsi="Arial" w:eastAsia="黑体"/>
      <w:bCs w:val="0"/>
      <w:kern w:val="0"/>
    </w:rPr>
  </w:style>
  <w:style w:type="paragraph" w:customStyle="1" w:styleId="57">
    <w:name w:val="标题 3（DBSec）"/>
    <w:basedOn w:val="4"/>
    <w:next w:val="1"/>
    <w:qFormat/>
    <w:uiPriority w:val="0"/>
    <w:pPr>
      <w:numPr>
        <w:ilvl w:val="2"/>
        <w:numId w:val="2"/>
      </w:numPr>
      <w:tabs>
        <w:tab w:val="left" w:pos="960"/>
      </w:tabs>
      <w:spacing w:line="415" w:lineRule="auto"/>
      <w:ind w:left="200" w:leftChars="200"/>
      <w:jc w:val="left"/>
    </w:pPr>
    <w:rPr>
      <w:rFonts w:ascii="Arial" w:hAnsi="Arial" w:eastAsia="黑体"/>
      <w:bCs w:val="0"/>
      <w:kern w:val="0"/>
    </w:rPr>
  </w:style>
  <w:style w:type="paragraph" w:customStyle="1" w:styleId="58">
    <w:name w:val="标题 1（DBSec）"/>
    <w:basedOn w:val="2"/>
    <w:next w:val="1"/>
    <w:qFormat/>
    <w:uiPriority w:val="0"/>
    <w:pPr>
      <w:pageBreakBefore/>
      <w:numPr>
        <w:numId w:val="2"/>
      </w:numPr>
      <w:pBdr>
        <w:bottom w:val="single" w:color="auto" w:sz="48" w:space="1"/>
      </w:pBdr>
      <w:spacing w:before="600" w:line="576" w:lineRule="auto"/>
      <w:ind w:left="200" w:leftChars="200"/>
      <w:jc w:val="left"/>
    </w:pPr>
    <w:rPr>
      <w:rFonts w:ascii="Arial" w:hAnsi="Arial" w:eastAsia="黑体"/>
      <w:lang w:val="en-US"/>
    </w:rPr>
  </w:style>
  <w:style w:type="paragraph" w:customStyle="1" w:styleId="59">
    <w:name w:val="彩色列表 - 着色 11"/>
    <w:basedOn w:val="1"/>
    <w:qFormat/>
    <w:uiPriority w:val="34"/>
    <w:pPr>
      <w:spacing w:line="360" w:lineRule="auto"/>
      <w:ind w:firstLine="420" w:firstLineChars="200"/>
    </w:pPr>
    <w:rPr>
      <w:rFonts w:ascii="Arial" w:hAnsi="Arial"/>
      <w:szCs w:val="21"/>
    </w:rPr>
  </w:style>
  <w:style w:type="paragraph" w:customStyle="1" w:styleId="60">
    <w:name w:val="表格标注（安华金和）"/>
    <w:basedOn w:val="50"/>
    <w:next w:val="1"/>
    <w:qFormat/>
    <w:uiPriority w:val="0"/>
    <w:pPr>
      <w:numPr>
        <w:ilvl w:val="7"/>
      </w:numPr>
    </w:pPr>
  </w:style>
  <w:style w:type="paragraph" w:customStyle="1" w:styleId="61">
    <w:name w:val="标题 5（有编号）（安华金和）"/>
    <w:basedOn w:val="1"/>
    <w:next w:val="1"/>
    <w:qFormat/>
    <w:uiPriority w:val="0"/>
    <w:pPr>
      <w:keepNext/>
      <w:keepLines/>
      <w:numPr>
        <w:ilvl w:val="4"/>
        <w:numId w:val="2"/>
      </w:numPr>
      <w:spacing w:before="280" w:after="156" w:line="377" w:lineRule="auto"/>
      <w:ind w:left="0"/>
      <w:jc w:val="left"/>
      <w:outlineLvl w:val="4"/>
    </w:pPr>
    <w:rPr>
      <w:rFonts w:ascii="Arial" w:hAnsi="Arial" w:eastAsia="黑体"/>
      <w:b/>
      <w:kern w:val="0"/>
      <w:sz w:val="24"/>
      <w:szCs w:val="28"/>
    </w:rPr>
  </w:style>
  <w:style w:type="paragraph" w:customStyle="1" w:styleId="62">
    <w:name w:val="List Paragraph11"/>
    <w:basedOn w:val="1"/>
    <w:next w:val="1"/>
    <w:qFormat/>
    <w:uiPriority w:val="34"/>
    <w:pPr>
      <w:spacing w:line="360" w:lineRule="auto"/>
      <w:ind w:firstLine="420" w:firstLineChars="200"/>
    </w:pPr>
    <w:rPr>
      <w:rFonts w:ascii="Verdana" w:hAnsi="Verdana"/>
      <w:color w:val="000000"/>
      <w:sz w:val="20"/>
      <w:szCs w:val="20"/>
    </w:rPr>
  </w:style>
  <w:style w:type="character" w:customStyle="1" w:styleId="63">
    <w:name w:val="批注文字 字符"/>
    <w:qFormat/>
    <w:uiPriority w:val="99"/>
    <w:rPr>
      <w:kern w:val="2"/>
      <w:sz w:val="21"/>
      <w:szCs w:val="24"/>
    </w:rPr>
  </w:style>
  <w:style w:type="character" w:customStyle="1" w:styleId="64">
    <w:name w:val="副标题 字符"/>
    <w:link w:val="17"/>
    <w:qFormat/>
    <w:uiPriority w:val="0"/>
    <w:rPr>
      <w:rFonts w:ascii="Cambria" w:hAnsi="Cambria"/>
      <w:b/>
      <w:bCs/>
      <w:kern w:val="28"/>
      <w:sz w:val="32"/>
      <w:szCs w:val="32"/>
      <w:lang w:eastAsia="en-US"/>
    </w:rPr>
  </w:style>
  <w:style w:type="paragraph" w:customStyle="1" w:styleId="6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2989</Words>
  <Characters>3074</Characters>
  <Lines>21</Lines>
  <Paragraphs>6</Paragraphs>
  <TotalTime>0</TotalTime>
  <ScaleCrop>false</ScaleCrop>
  <LinksUpToDate>false</LinksUpToDate>
  <CharactersWithSpaces>3075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2022-10-25T03:53:00Z</dcterms:created>
  <dc:creator>陈永辉</dc:creator>
  <cp:lastModifiedBy>赵杰</cp:lastModifiedBy>
  <dcterms:modified xsi:type="dcterms:W3CDTF">2023-06-14T04:15:09Z</dcterms:modified>
  <dc:title>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56BD442A2A93D60B890E8264045E36FD_43</vt:lpwstr>
  </property>
</Properties>
</file>