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24" w:beforeLines="200" w:after="312" w:afterLines="100" w:line="360" w:lineRule="auto"/>
        <w:jc w:val="center"/>
        <w:rPr>
          <w:rFonts w:hint="eastAsia" w:ascii="宋体" w:hAnsi="宋体"/>
          <w:b/>
          <w:sz w:val="44"/>
          <w:szCs w:val="30"/>
        </w:rPr>
      </w:pPr>
      <w:r>
        <w:rPr>
          <w:rFonts w:hint="eastAsia" w:ascii="宋体" w:hAnsi="宋体"/>
          <w:b/>
          <w:sz w:val="44"/>
          <w:szCs w:val="30"/>
        </w:rPr>
        <w:t>广东省检验结果互认及质量管理系统</w:t>
      </w:r>
      <w:r>
        <w:rPr>
          <w:rFonts w:hint="eastAsia" w:ascii="宋体" w:hAnsi="宋体"/>
          <w:b/>
          <w:sz w:val="44"/>
          <w:szCs w:val="30"/>
        </w:rPr>
        <w:t>项目需求</w:t>
      </w:r>
    </w:p>
    <w:p>
      <w:pPr>
        <w:pStyle w:val="2"/>
        <w:numPr>
          <w:ilvl w:val="0"/>
          <w:numId w:val="3"/>
        </w:numPr>
        <w:spacing w:before="0" w:after="0"/>
        <w:rPr>
          <w:rFonts w:ascii="宋体" w:hAnsi="宋体"/>
          <w:sz w:val="32"/>
          <w:szCs w:val="32"/>
        </w:rPr>
      </w:pPr>
      <w:r>
        <w:rPr>
          <w:rFonts w:hint="eastAsia" w:ascii="宋体" w:hAnsi="宋体"/>
          <w:sz w:val="32"/>
          <w:szCs w:val="32"/>
        </w:rPr>
        <w:t>项目名称</w:t>
      </w:r>
    </w:p>
    <w:p>
      <w:pPr>
        <w:spacing w:line="360" w:lineRule="auto"/>
        <w:ind w:left="432"/>
        <w:rPr>
          <w:rFonts w:ascii="宋体" w:hAnsi="宋体"/>
          <w:sz w:val="22"/>
        </w:rPr>
      </w:pPr>
      <w:r>
        <w:rPr>
          <w:rFonts w:hint="eastAsia" w:ascii="宋体" w:hAnsi="宋体"/>
          <w:sz w:val="22"/>
        </w:rPr>
        <w:t>项目名称：</w:t>
      </w:r>
      <w:bookmarkStart w:id="2" w:name="_GoBack"/>
      <w:r>
        <w:rPr>
          <w:rFonts w:hint="eastAsia" w:ascii="宋体" w:hAnsi="宋体"/>
          <w:sz w:val="24"/>
          <w:szCs w:val="24"/>
        </w:rPr>
        <w:t>广东省检验结果互认及质量管理系统</w:t>
      </w:r>
      <w:bookmarkEnd w:id="2"/>
    </w:p>
    <w:p>
      <w:pPr>
        <w:spacing w:line="360" w:lineRule="auto"/>
        <w:ind w:left="432"/>
        <w:rPr>
          <w:rFonts w:ascii="宋体" w:hAnsi="宋体"/>
          <w:sz w:val="22"/>
        </w:rPr>
      </w:pPr>
    </w:p>
    <w:p>
      <w:pPr>
        <w:pStyle w:val="2"/>
        <w:numPr>
          <w:ilvl w:val="0"/>
          <w:numId w:val="3"/>
        </w:numPr>
        <w:spacing w:before="0" w:after="0"/>
        <w:rPr>
          <w:rFonts w:hint="eastAsia" w:ascii="宋体" w:hAnsi="宋体"/>
          <w:sz w:val="32"/>
          <w:szCs w:val="32"/>
        </w:rPr>
      </w:pPr>
      <w:r>
        <w:rPr>
          <w:rFonts w:hint="eastAsia" w:ascii="宋体" w:hAnsi="宋体"/>
          <w:sz w:val="32"/>
          <w:szCs w:val="32"/>
          <w:lang w:eastAsia="zh-CN"/>
        </w:rPr>
        <w:t>项目内容</w:t>
      </w:r>
    </w:p>
    <w:p>
      <w:pPr>
        <w:rPr>
          <w:rFonts w:hint="eastAsia"/>
        </w:rPr>
      </w:pPr>
      <w:r>
        <w:rPr>
          <w:rFonts w:hint="eastAsia"/>
        </w:rPr>
        <w:t>项目</w:t>
      </w:r>
      <w:r>
        <w:t>功能</w:t>
      </w:r>
      <w:r>
        <w:rPr>
          <w:rFonts w:hint="eastAsia"/>
        </w:rPr>
        <w:t>如下：</w:t>
      </w:r>
    </w:p>
    <w:tbl>
      <w:tblPr>
        <w:tblStyle w:val="1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5"/>
        <w:gridCol w:w="5211"/>
        <w:gridCol w:w="31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center"/>
            </w:pPr>
            <w:r>
              <w:rPr>
                <w:rFonts w:hint="eastAsia"/>
              </w:rPr>
              <w:t>序号</w:t>
            </w:r>
          </w:p>
        </w:tc>
        <w:tc>
          <w:tcPr>
            <w:tcW w:w="5211" w:type="dxa"/>
          </w:tcPr>
          <w:p>
            <w:pPr>
              <w:jc w:val="center"/>
              <w:rPr>
                <w:rFonts w:hint="eastAsia"/>
              </w:rPr>
            </w:pPr>
            <w:r>
              <w:rPr>
                <w:rFonts w:hint="eastAsia"/>
              </w:rPr>
              <w:t>系统名称</w:t>
            </w:r>
          </w:p>
        </w:tc>
        <w:tc>
          <w:tcPr>
            <w:tcW w:w="3153" w:type="dxa"/>
          </w:tcPr>
          <w:p>
            <w:pPr>
              <w:jc w:val="center"/>
            </w:pPr>
            <w:r>
              <w:rPr>
                <w:rFonts w:hint="eastAsia"/>
              </w:rPr>
              <w:t>功能模块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center"/>
            </w:pPr>
            <w:r>
              <w:t>1</w:t>
            </w:r>
          </w:p>
        </w:tc>
        <w:tc>
          <w:tcPr>
            <w:tcW w:w="5211" w:type="dxa"/>
          </w:tcPr>
          <w:p>
            <w:pPr>
              <w:rPr>
                <w:rFonts w:hint="eastAsia"/>
              </w:rPr>
            </w:pPr>
            <w:r>
              <w:rPr>
                <w:rFonts w:hint="eastAsia" w:ascii="宋体" w:hAnsi="宋体"/>
                <w:sz w:val="24"/>
                <w:szCs w:val="24"/>
              </w:rPr>
              <w:t>广东省检验结果互认及质量管理系统</w:t>
            </w:r>
          </w:p>
        </w:tc>
        <w:tc>
          <w:tcPr>
            <w:tcW w:w="3153" w:type="dxa"/>
          </w:tcPr>
          <w:p>
            <w:pPr>
              <w:jc w:val="center"/>
              <w:rPr>
                <w:rFonts w:hint="eastAsia" w:eastAsia="宋体"/>
                <w:lang w:val="en-US" w:eastAsia="zh-CN"/>
              </w:rPr>
            </w:pPr>
            <w:r>
              <w:rPr>
                <w:rFonts w:hint="eastAsia"/>
                <w:lang w:val="en-US" w:eastAsia="zh-CN"/>
              </w:rPr>
              <w:t>1套</w:t>
            </w:r>
          </w:p>
        </w:tc>
      </w:tr>
    </w:tbl>
    <w:p>
      <w:pPr>
        <w:pStyle w:val="48"/>
        <w:keepNext/>
        <w:keepLines/>
        <w:numPr>
          <w:ilvl w:val="0"/>
          <w:numId w:val="1"/>
        </w:numPr>
        <w:spacing w:line="578" w:lineRule="auto"/>
        <w:ind w:firstLineChars="0"/>
        <w:outlineLvl w:val="0"/>
        <w:rPr>
          <w:rFonts w:hint="eastAsia" w:ascii="宋体" w:hAnsi="宋体" w:eastAsia="宋体"/>
          <w:b/>
          <w:bCs/>
          <w:vanish/>
          <w:kern w:val="44"/>
          <w:sz w:val="44"/>
          <w:szCs w:val="44"/>
        </w:rPr>
      </w:pPr>
    </w:p>
    <w:p>
      <w:pPr>
        <w:pStyle w:val="48"/>
        <w:keepNext/>
        <w:keepLines/>
        <w:numPr>
          <w:ilvl w:val="0"/>
          <w:numId w:val="1"/>
        </w:numPr>
        <w:spacing w:line="578" w:lineRule="auto"/>
        <w:ind w:firstLineChars="0"/>
        <w:outlineLvl w:val="0"/>
        <w:rPr>
          <w:rFonts w:hint="eastAsia" w:ascii="宋体" w:hAnsi="宋体" w:eastAsia="宋体"/>
          <w:b/>
          <w:bCs/>
          <w:vanish/>
          <w:kern w:val="44"/>
          <w:sz w:val="44"/>
          <w:szCs w:val="44"/>
        </w:rPr>
      </w:pPr>
    </w:p>
    <w:p>
      <w:pPr>
        <w:pStyle w:val="48"/>
        <w:keepNext/>
        <w:keepLines/>
        <w:numPr>
          <w:ilvl w:val="0"/>
          <w:numId w:val="1"/>
        </w:numPr>
        <w:spacing w:line="578" w:lineRule="auto"/>
        <w:ind w:firstLineChars="0"/>
        <w:outlineLvl w:val="0"/>
        <w:rPr>
          <w:rFonts w:hint="eastAsia" w:ascii="宋体" w:hAnsi="宋体" w:eastAsia="宋体"/>
          <w:b/>
          <w:bCs/>
          <w:vanish/>
          <w:kern w:val="44"/>
          <w:sz w:val="44"/>
          <w:szCs w:val="44"/>
        </w:rPr>
      </w:pPr>
    </w:p>
    <w:p>
      <w:pPr>
        <w:pStyle w:val="48"/>
        <w:keepNext/>
        <w:keepLines/>
        <w:numPr>
          <w:ilvl w:val="1"/>
          <w:numId w:val="1"/>
        </w:numPr>
        <w:spacing w:line="578" w:lineRule="auto"/>
        <w:ind w:firstLineChars="0"/>
        <w:outlineLvl w:val="0"/>
        <w:rPr>
          <w:rFonts w:hint="eastAsia" w:ascii="宋体" w:hAnsi="宋体" w:eastAsia="宋体"/>
          <w:b/>
          <w:bCs/>
          <w:vanish/>
          <w:kern w:val="44"/>
          <w:sz w:val="44"/>
          <w:szCs w:val="44"/>
        </w:rPr>
      </w:pPr>
    </w:p>
    <w:p>
      <w:pPr>
        <w:pStyle w:val="2"/>
        <w:numPr>
          <w:ilvl w:val="0"/>
          <w:numId w:val="0"/>
        </w:numPr>
        <w:spacing w:before="0" w:after="0"/>
        <w:ind w:left="432"/>
        <w:rPr>
          <w:rFonts w:ascii="宋体" w:hAnsi="宋体"/>
          <w:sz w:val="32"/>
          <w:szCs w:val="32"/>
        </w:rPr>
      </w:pPr>
    </w:p>
    <w:p>
      <w:pPr>
        <w:pStyle w:val="2"/>
        <w:numPr>
          <w:ilvl w:val="0"/>
          <w:numId w:val="3"/>
        </w:numPr>
        <w:spacing w:before="0" w:after="0"/>
        <w:rPr>
          <w:rFonts w:ascii="宋体" w:hAnsi="宋体"/>
          <w:sz w:val="28"/>
          <w:szCs w:val="28"/>
        </w:rPr>
      </w:pPr>
      <w:bookmarkStart w:id="0" w:name="_6.1.2、容器服务器"/>
      <w:bookmarkEnd w:id="0"/>
      <w:r>
        <w:rPr>
          <w:rFonts w:hint="eastAsia" w:ascii="宋体" w:hAnsi="宋体"/>
          <w:sz w:val="28"/>
          <w:szCs w:val="28"/>
        </w:rPr>
        <w:t>项目</w:t>
      </w:r>
      <w:r>
        <w:rPr>
          <w:rFonts w:hint="eastAsia" w:ascii="宋体" w:hAnsi="宋体"/>
          <w:sz w:val="28"/>
          <w:szCs w:val="28"/>
          <w:lang w:eastAsia="zh-CN"/>
        </w:rPr>
        <w:t>背景</w:t>
      </w:r>
    </w:p>
    <w:p>
      <w:pPr>
        <w:spacing w:line="360" w:lineRule="auto"/>
        <w:ind w:left="432" w:firstLine="480" w:firstLineChars="200"/>
        <w:rPr>
          <w:rFonts w:ascii="宋体" w:hAnsi="宋体"/>
          <w:sz w:val="24"/>
          <w:szCs w:val="24"/>
        </w:rPr>
      </w:pPr>
      <w:r>
        <w:rPr>
          <w:rFonts w:hint="eastAsia" w:ascii="宋体" w:hAnsi="宋体"/>
          <w:sz w:val="24"/>
          <w:szCs w:val="24"/>
        </w:rPr>
        <w:t>医疗机构检验结果互认是中共中央国务院为深化医药卫生体制改革、解决人民群众“看病难、看病贵”问题的重要举措。临床检验质控中心拟在广东省卫生健康委的指导下，从检验质量评价大数据分析发力，推进全省临床行业高质量发展，面向全省医疗机构临床检验实验室开展质量监管与评价工作。</w:t>
      </w:r>
    </w:p>
    <w:p>
      <w:pPr>
        <w:spacing w:line="360" w:lineRule="auto"/>
        <w:ind w:left="432" w:firstLine="480" w:firstLineChars="200"/>
        <w:rPr>
          <w:rFonts w:ascii="宋体" w:hAnsi="宋体"/>
          <w:sz w:val="24"/>
          <w:szCs w:val="24"/>
        </w:rPr>
      </w:pPr>
      <w:r>
        <w:rPr>
          <w:rFonts w:hint="eastAsia" w:ascii="宋体" w:hAnsi="宋体"/>
          <w:sz w:val="24"/>
          <w:szCs w:val="24"/>
        </w:rPr>
        <w:t>临床检验质控中心根据《医疗机构检查检验结果互认管理办法》要求，结合信息管理、数据汇总和分析的需求，建设覆盖检验全流程的广东省检验结果互认及质量管理系统，并同步开展检验大数据分析工作。</w:t>
      </w:r>
    </w:p>
    <w:p>
      <w:pPr>
        <w:pStyle w:val="2"/>
        <w:numPr>
          <w:ilvl w:val="0"/>
          <w:numId w:val="3"/>
        </w:numPr>
        <w:spacing w:before="0" w:after="0"/>
        <w:rPr>
          <w:rFonts w:ascii="宋体" w:hAnsi="宋体"/>
          <w:sz w:val="32"/>
          <w:szCs w:val="32"/>
        </w:rPr>
      </w:pPr>
      <w:r>
        <w:rPr>
          <w:rFonts w:hint="eastAsia" w:ascii="宋体" w:hAnsi="宋体"/>
          <w:sz w:val="32"/>
          <w:szCs w:val="32"/>
        </w:rPr>
        <w:t>详细功能描述</w:t>
      </w:r>
      <w:bookmarkStart w:id="1" w:name="_6.1.1、大数据服务器"/>
      <w:bookmarkEnd w:id="1"/>
    </w:p>
    <w:tbl>
      <w:tblPr>
        <w:tblStyle w:val="64"/>
        <w:tblpPr w:leftFromText="180" w:rightFromText="180" w:vertAnchor="text" w:tblpY="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1"/>
        <w:gridCol w:w="2981"/>
        <w:gridCol w:w="4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5000" w:type="pct"/>
            <w:gridSpan w:val="3"/>
            <w:shd w:val="clear" w:color="auto" w:fill="auto"/>
            <w:vAlign w:val="center"/>
          </w:tcPr>
          <w:p>
            <w:pPr>
              <w:adjustRightInd w:val="0"/>
              <w:snapToGrid w:val="0"/>
              <w:spacing w:line="360" w:lineRule="auto"/>
              <w:ind w:left="63" w:right="63" w:firstLine="240"/>
              <w:rPr>
                <w:rFonts w:ascii="宋体" w:hAnsi="宋体" w:cs="仿宋"/>
                <w:sz w:val="24"/>
              </w:rPr>
            </w:pPr>
            <w:r>
              <w:rPr>
                <w:rFonts w:hint="eastAsia" w:ascii="宋体" w:hAnsi="宋体" w:cs="仿宋"/>
                <w:sz w:val="24"/>
              </w:rPr>
              <w:t>一、系统基本要求</w:t>
            </w:r>
          </w:p>
          <w:p>
            <w:pPr>
              <w:spacing w:line="360" w:lineRule="auto"/>
              <w:ind w:firstLine="480" w:firstLineChars="200"/>
              <w:rPr>
                <w:rFonts w:ascii="宋体" w:hAnsi="宋体" w:cstheme="minorBidi"/>
                <w:sz w:val="24"/>
              </w:rPr>
            </w:pPr>
            <w:r>
              <w:rPr>
                <w:rFonts w:hint="eastAsia" w:ascii="宋体" w:hAnsi="宋体" w:cstheme="minorBidi"/>
                <w:sz w:val="24"/>
              </w:rPr>
              <w:t>本项目根据国家卫生健康委《医疗机构检查检验结果互认管理办法》以及《医疗机构临床实验室管理办法》中对质量管理与评价和要求，建立覆盖检验全过程管理的</w:t>
            </w:r>
            <w:r>
              <w:rPr>
                <w:rFonts w:hint="eastAsia" w:ascii="宋体" w:hAnsi="宋体"/>
                <w:sz w:val="24"/>
                <w:szCs w:val="24"/>
              </w:rPr>
              <w:t>“广东省检验结果互认及质量管理系统”</w:t>
            </w:r>
            <w:r>
              <w:rPr>
                <w:rFonts w:hint="eastAsia" w:ascii="宋体" w:hAnsi="宋体" w:cstheme="minorBidi"/>
                <w:sz w:val="24"/>
              </w:rPr>
              <w:t>一套，实现互认全流程信息化管理。</w:t>
            </w:r>
          </w:p>
          <w:p>
            <w:pPr>
              <w:numPr>
                <w:ilvl w:val="0"/>
                <w:numId w:val="4"/>
              </w:numPr>
              <w:spacing w:line="360" w:lineRule="auto"/>
              <w:ind w:firstLine="480"/>
              <w:rPr>
                <w:rFonts w:ascii="宋体" w:hAnsi="宋体" w:cstheme="minorBidi"/>
                <w:sz w:val="24"/>
              </w:rPr>
            </w:pPr>
            <w:r>
              <w:rPr>
                <w:rFonts w:hint="eastAsia" w:ascii="宋体" w:hAnsi="宋体" w:cstheme="minorBidi"/>
                <w:sz w:val="24"/>
              </w:rPr>
              <w:t>系统建设遵循先进性、实用性、安全性、开放性与标准化等原则，保证系统建设、维护、使用的低成本、可靠性、易用性和易于维护，并要求系统具有良好的扩展性，以满足临床检验中心对检验结果互认的管理需要。</w:t>
            </w:r>
          </w:p>
          <w:p>
            <w:pPr>
              <w:numPr>
                <w:ilvl w:val="0"/>
                <w:numId w:val="4"/>
              </w:numPr>
              <w:spacing w:line="360" w:lineRule="auto"/>
              <w:ind w:firstLine="480"/>
              <w:rPr>
                <w:rFonts w:ascii="宋体" w:hAnsi="宋体" w:cstheme="minorBidi"/>
                <w:sz w:val="24"/>
              </w:rPr>
            </w:pPr>
            <w:r>
              <w:rPr>
                <w:rFonts w:hint="eastAsia" w:ascii="宋体" w:hAnsi="宋体" w:cstheme="minorBidi"/>
                <w:sz w:val="24"/>
              </w:rPr>
              <w:t>系统应通过国家信息安全三级等级保护备案。</w:t>
            </w:r>
          </w:p>
          <w:p>
            <w:pPr>
              <w:numPr>
                <w:ilvl w:val="0"/>
                <w:numId w:val="4"/>
              </w:numPr>
              <w:spacing w:line="360" w:lineRule="auto"/>
              <w:ind w:firstLine="480"/>
              <w:rPr>
                <w:rFonts w:ascii="宋体" w:hAnsi="宋体" w:cstheme="minorBidi"/>
                <w:sz w:val="24"/>
              </w:rPr>
            </w:pPr>
            <w:r>
              <w:rPr>
                <w:rFonts w:hint="eastAsia" w:ascii="宋体" w:hAnsi="宋体" w:cstheme="minorBidi"/>
                <w:sz w:val="24"/>
              </w:rPr>
              <w:t>系统具备独立的知识产权，获取计算机软件著作权登记证书。</w:t>
            </w:r>
          </w:p>
          <w:p>
            <w:pPr>
              <w:numPr>
                <w:ilvl w:val="0"/>
                <w:numId w:val="4"/>
              </w:numPr>
              <w:spacing w:line="360" w:lineRule="auto"/>
              <w:ind w:firstLine="480"/>
              <w:rPr>
                <w:rFonts w:ascii="宋体" w:hAnsi="宋体" w:cstheme="minorBidi"/>
                <w:sz w:val="24"/>
              </w:rPr>
            </w:pPr>
            <w:r>
              <w:rPr>
                <w:rFonts w:hint="eastAsia" w:ascii="宋体" w:hAnsi="宋体" w:cstheme="minorBidi"/>
                <w:sz w:val="24"/>
              </w:rPr>
              <w:t>系统基于先进主流技术开发，支持Safari、Chrome、火狐等多种主流浏览器。</w:t>
            </w:r>
          </w:p>
          <w:p>
            <w:pPr>
              <w:numPr>
                <w:ilvl w:val="0"/>
                <w:numId w:val="4"/>
              </w:numPr>
              <w:spacing w:line="360" w:lineRule="auto"/>
              <w:ind w:firstLine="480"/>
              <w:rPr>
                <w:rFonts w:ascii="宋体" w:hAnsi="宋体" w:cstheme="minorBidi"/>
                <w:sz w:val="24"/>
              </w:rPr>
            </w:pPr>
            <w:r>
              <w:rPr>
                <w:rFonts w:hint="eastAsia" w:ascii="宋体" w:hAnsi="宋体" w:cstheme="minorBidi"/>
                <w:sz w:val="24"/>
              </w:rPr>
              <w:t>系统服务器实现双机热备，必须有完善的备份机制。</w:t>
            </w:r>
          </w:p>
          <w:p>
            <w:pPr>
              <w:numPr>
                <w:ilvl w:val="0"/>
                <w:numId w:val="4"/>
              </w:numPr>
              <w:spacing w:line="360" w:lineRule="auto"/>
              <w:ind w:firstLine="480"/>
              <w:rPr>
                <w:rFonts w:ascii="宋体" w:hAnsi="宋体" w:cstheme="minorBidi"/>
                <w:sz w:val="24"/>
              </w:rPr>
            </w:pPr>
            <w:r>
              <w:rPr>
                <w:rFonts w:hint="eastAsia" w:ascii="宋体" w:hAnsi="宋体" w:cstheme="minorBidi"/>
                <w:sz w:val="24"/>
              </w:rPr>
              <w:t>系统采用</w:t>
            </w:r>
            <w:r>
              <w:rPr>
                <w:rFonts w:ascii="宋体" w:hAnsi="宋体" w:cstheme="minorBidi"/>
                <w:sz w:val="24"/>
              </w:rPr>
              <w:t>B/S</w:t>
            </w:r>
            <w:r>
              <w:rPr>
                <w:rFonts w:hint="eastAsia" w:ascii="宋体" w:hAnsi="宋体" w:cstheme="minorBidi"/>
                <w:sz w:val="24"/>
              </w:rPr>
              <w:t>架构</w:t>
            </w:r>
            <w:r>
              <w:rPr>
                <w:rFonts w:ascii="宋体" w:hAnsi="宋体" w:cstheme="minorBidi"/>
                <w:sz w:val="24"/>
              </w:rPr>
              <w:t>，并能够</w:t>
            </w:r>
            <w:r>
              <w:rPr>
                <w:rFonts w:hint="eastAsia" w:ascii="宋体" w:hAnsi="宋体" w:cstheme="minorBidi"/>
                <w:sz w:val="24"/>
              </w:rPr>
              <w:t>支持全省医疗机构数据上报</w:t>
            </w:r>
            <w:r>
              <w:rPr>
                <w:rFonts w:ascii="宋体" w:hAnsi="宋体" w:cstheme="minorBidi"/>
                <w:sz w:val="24"/>
              </w:rPr>
              <w:t>。</w:t>
            </w:r>
          </w:p>
          <w:p>
            <w:pPr>
              <w:numPr>
                <w:ilvl w:val="0"/>
                <w:numId w:val="4"/>
              </w:numPr>
              <w:spacing w:line="360" w:lineRule="auto"/>
              <w:ind w:firstLine="480"/>
              <w:rPr>
                <w:rFonts w:ascii="宋体" w:hAnsi="宋体" w:cstheme="minorBidi"/>
                <w:sz w:val="24"/>
              </w:rPr>
            </w:pPr>
            <w:r>
              <w:rPr>
                <w:rFonts w:hint="eastAsia" w:ascii="宋体" w:hAnsi="宋体" w:cstheme="minorBidi"/>
                <w:sz w:val="24"/>
              </w:rPr>
              <w:t>对接国家临检中心室间质量评价系统、广东省临床检验中心室间质量评价系统信息平台的接口，并承担相关对接费用，满足自动获取室间质量评价数据及成绩的需求。</w:t>
            </w:r>
          </w:p>
          <w:p>
            <w:pPr>
              <w:numPr>
                <w:ilvl w:val="0"/>
                <w:numId w:val="4"/>
              </w:numPr>
              <w:spacing w:line="360" w:lineRule="auto"/>
              <w:ind w:firstLine="480"/>
              <w:rPr>
                <w:rFonts w:ascii="宋体" w:hAnsi="宋体" w:cstheme="minorBidi"/>
                <w:sz w:val="24"/>
              </w:rPr>
            </w:pPr>
            <w:r>
              <w:rPr>
                <w:rFonts w:hint="eastAsia" w:ascii="宋体" w:hAnsi="宋体" w:cstheme="minorBidi"/>
                <w:sz w:val="24"/>
              </w:rPr>
              <w:t>系统技术支持有保障，在广东省、市级单位有实际应用并取得成功的案例。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5000" w:type="pct"/>
            <w:gridSpan w:val="3"/>
            <w:shd w:val="clear" w:color="auto" w:fill="auto"/>
            <w:vAlign w:val="center"/>
          </w:tcPr>
          <w:p>
            <w:pPr>
              <w:spacing w:line="276" w:lineRule="auto"/>
              <w:ind w:right="63"/>
              <w:jc w:val="center"/>
              <w:rPr>
                <w:rFonts w:ascii="宋体" w:hAnsi="宋体" w:cs="仿宋"/>
                <w:b/>
                <w:sz w:val="24"/>
              </w:rPr>
            </w:pPr>
            <w:r>
              <w:rPr>
                <w:rFonts w:hint="eastAsia" w:ascii="宋体" w:hAnsi="宋体"/>
                <w:b/>
                <w:bCs/>
                <w:sz w:val="24"/>
                <w:szCs w:val="24"/>
              </w:rPr>
              <w:t>广东省检验结果互认及质量管理系统功能需求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927" w:type="pct"/>
            <w:shd w:val="clear" w:color="auto" w:fill="auto"/>
            <w:vAlign w:val="center"/>
          </w:tcPr>
          <w:p>
            <w:pPr>
              <w:spacing w:line="276" w:lineRule="auto"/>
              <w:ind w:right="63"/>
              <w:jc w:val="center"/>
              <w:rPr>
                <w:rFonts w:ascii="宋体" w:hAnsi="宋体" w:cs="仿宋"/>
                <w:bCs/>
                <w:sz w:val="24"/>
              </w:rPr>
            </w:pPr>
            <w:r>
              <w:rPr>
                <w:rFonts w:hint="eastAsia" w:ascii="宋体" w:hAnsi="宋体" w:cs="仿宋"/>
                <w:bCs/>
                <w:sz w:val="24"/>
              </w:rPr>
              <w:t>模块</w:t>
            </w:r>
          </w:p>
        </w:tc>
        <w:tc>
          <w:tcPr>
            <w:tcW w:w="1605" w:type="pct"/>
            <w:shd w:val="clear" w:color="auto" w:fill="auto"/>
            <w:vAlign w:val="center"/>
          </w:tcPr>
          <w:p>
            <w:pPr>
              <w:spacing w:line="276" w:lineRule="auto"/>
              <w:ind w:right="63"/>
              <w:jc w:val="center"/>
              <w:rPr>
                <w:rFonts w:ascii="宋体" w:hAnsi="宋体" w:cs="仿宋"/>
                <w:bCs/>
                <w:sz w:val="24"/>
              </w:rPr>
            </w:pPr>
            <w:r>
              <w:rPr>
                <w:rFonts w:hint="eastAsia" w:ascii="宋体" w:hAnsi="宋体" w:cs="仿宋"/>
                <w:bCs/>
                <w:sz w:val="24"/>
              </w:rPr>
              <w:t>功能</w:t>
            </w:r>
          </w:p>
        </w:tc>
        <w:tc>
          <w:tcPr>
            <w:tcW w:w="2467" w:type="pct"/>
            <w:shd w:val="clear" w:color="auto" w:fill="auto"/>
            <w:vAlign w:val="center"/>
          </w:tcPr>
          <w:p>
            <w:pPr>
              <w:spacing w:line="276" w:lineRule="auto"/>
              <w:ind w:right="63"/>
              <w:jc w:val="center"/>
              <w:rPr>
                <w:rFonts w:ascii="宋体" w:hAnsi="宋体" w:cs="仿宋"/>
                <w:bCs/>
                <w:sz w:val="24"/>
              </w:rPr>
            </w:pPr>
            <w:r>
              <w:rPr>
                <w:rFonts w:hint="eastAsia" w:ascii="宋体" w:hAnsi="宋体" w:cs="仿宋"/>
                <w:bCs/>
                <w:sz w:val="24"/>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927" w:type="pct"/>
            <w:vMerge w:val="restart"/>
            <w:shd w:val="clear" w:color="auto" w:fill="auto"/>
            <w:vAlign w:val="center"/>
          </w:tcPr>
          <w:p>
            <w:pPr>
              <w:spacing w:line="276" w:lineRule="auto"/>
              <w:ind w:right="63"/>
              <w:rPr>
                <w:rFonts w:ascii="宋体" w:hAnsi="宋体" w:cs="仿宋"/>
                <w:bCs/>
                <w:sz w:val="24"/>
              </w:rPr>
            </w:pPr>
            <w:r>
              <w:rPr>
                <w:rFonts w:hint="eastAsia" w:ascii="宋体" w:hAnsi="宋体" w:cs="仿宋"/>
                <w:bCs/>
                <w:sz w:val="24"/>
              </w:rPr>
              <w:t>1.质量评价标准管理</w:t>
            </w:r>
          </w:p>
        </w:tc>
        <w:tc>
          <w:tcPr>
            <w:tcW w:w="1605" w:type="pct"/>
            <w:shd w:val="clear" w:color="auto" w:fill="auto"/>
            <w:vAlign w:val="center"/>
          </w:tcPr>
          <w:p>
            <w:pPr>
              <w:spacing w:line="276" w:lineRule="auto"/>
              <w:ind w:right="63"/>
              <w:rPr>
                <w:rFonts w:ascii="宋体" w:hAnsi="宋体" w:cs="仿宋"/>
                <w:bCs/>
                <w:sz w:val="24"/>
              </w:rPr>
            </w:pPr>
            <w:r>
              <w:rPr>
                <w:rFonts w:hint="eastAsia" w:ascii="宋体" w:hAnsi="宋体" w:cs="仿宋"/>
                <w:bCs/>
                <w:sz w:val="24"/>
              </w:rPr>
              <w:t>1.1互认项目管理</w:t>
            </w:r>
          </w:p>
        </w:tc>
        <w:tc>
          <w:tcPr>
            <w:tcW w:w="2467" w:type="pct"/>
            <w:shd w:val="clear" w:color="auto" w:fill="auto"/>
            <w:vAlign w:val="center"/>
          </w:tcPr>
          <w:p>
            <w:pPr>
              <w:spacing w:line="276" w:lineRule="auto"/>
              <w:ind w:right="63"/>
              <w:rPr>
                <w:rFonts w:ascii="宋体" w:hAnsi="宋体" w:cs="仿宋"/>
                <w:bCs/>
                <w:sz w:val="24"/>
              </w:rPr>
            </w:pPr>
            <w:r>
              <w:rPr>
                <w:rFonts w:hint="eastAsia" w:ascii="宋体" w:hAnsi="宋体" w:cs="仿宋"/>
                <w:bCs/>
                <w:sz w:val="24"/>
              </w:rPr>
              <w:t>系统应支持分专业、分项目的信息管理，包含但不限于：项目名称、定量/定性、标准统计单位、样本类型等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927" w:type="pct"/>
            <w:vMerge w:val="continue"/>
            <w:shd w:val="clear" w:color="auto" w:fill="auto"/>
            <w:vAlign w:val="center"/>
          </w:tcPr>
          <w:p>
            <w:pPr>
              <w:spacing w:line="276" w:lineRule="auto"/>
              <w:ind w:right="63"/>
              <w:rPr>
                <w:rFonts w:ascii="宋体" w:hAnsi="宋体" w:cs="仿宋"/>
                <w:bCs/>
                <w:sz w:val="24"/>
              </w:rPr>
            </w:pPr>
          </w:p>
        </w:tc>
        <w:tc>
          <w:tcPr>
            <w:tcW w:w="1605" w:type="pct"/>
            <w:shd w:val="clear" w:color="auto" w:fill="auto"/>
            <w:vAlign w:val="center"/>
          </w:tcPr>
          <w:p>
            <w:pPr>
              <w:spacing w:line="276" w:lineRule="auto"/>
              <w:ind w:right="63"/>
              <w:rPr>
                <w:rFonts w:ascii="宋体" w:hAnsi="宋体" w:cs="仿宋"/>
                <w:bCs/>
                <w:sz w:val="24"/>
              </w:rPr>
            </w:pPr>
            <w:r>
              <w:rPr>
                <w:rFonts w:hint="eastAsia" w:ascii="宋体" w:hAnsi="宋体" w:cs="仿宋"/>
                <w:bCs/>
                <w:sz w:val="24"/>
              </w:rPr>
              <w:t>1.2质量评价标准管理</w:t>
            </w:r>
          </w:p>
        </w:tc>
        <w:tc>
          <w:tcPr>
            <w:tcW w:w="2467" w:type="pct"/>
            <w:shd w:val="clear" w:color="auto" w:fill="auto"/>
            <w:vAlign w:val="center"/>
          </w:tcPr>
          <w:p>
            <w:pPr>
              <w:spacing w:line="276" w:lineRule="auto"/>
              <w:ind w:right="63"/>
              <w:rPr>
                <w:rFonts w:ascii="宋体" w:hAnsi="宋体" w:cs="仿宋"/>
                <w:bCs/>
                <w:sz w:val="24"/>
              </w:rPr>
            </w:pPr>
            <w:r>
              <w:rPr>
                <w:rFonts w:hint="eastAsia" w:ascii="宋体" w:hAnsi="宋体" w:cs="仿宋"/>
                <w:bCs/>
                <w:sz w:val="24"/>
              </w:rPr>
              <w:t>系统应支持设置多个质量管理标准，支持医疗机构分组应用不同的质量管理标准。</w:t>
            </w:r>
          </w:p>
          <w:p>
            <w:pPr>
              <w:spacing w:line="276" w:lineRule="auto"/>
              <w:ind w:right="63"/>
              <w:rPr>
                <w:rFonts w:ascii="宋体" w:hAnsi="宋体" w:cs="仿宋"/>
                <w:bCs/>
                <w:sz w:val="24"/>
              </w:rPr>
            </w:pPr>
            <w:r>
              <w:rPr>
                <w:rFonts w:hint="eastAsia" w:ascii="宋体" w:hAnsi="宋体" w:cs="仿宋"/>
                <w:bCs/>
                <w:sz w:val="24"/>
              </w:rPr>
              <w:t>支持配置质量评价的多个维度评价指标参数。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927" w:type="pct"/>
            <w:vMerge w:val="continue"/>
            <w:shd w:val="clear" w:color="auto" w:fill="auto"/>
            <w:vAlign w:val="center"/>
          </w:tcPr>
          <w:p>
            <w:pPr>
              <w:spacing w:line="276" w:lineRule="auto"/>
              <w:ind w:right="63"/>
              <w:rPr>
                <w:rFonts w:ascii="宋体" w:hAnsi="宋体" w:cs="仿宋"/>
                <w:bCs/>
                <w:sz w:val="24"/>
              </w:rPr>
            </w:pPr>
          </w:p>
        </w:tc>
        <w:tc>
          <w:tcPr>
            <w:tcW w:w="1605" w:type="pct"/>
            <w:shd w:val="clear" w:color="auto" w:fill="auto"/>
            <w:vAlign w:val="center"/>
          </w:tcPr>
          <w:p>
            <w:pPr>
              <w:spacing w:line="276" w:lineRule="auto"/>
              <w:ind w:right="63"/>
              <w:rPr>
                <w:rFonts w:ascii="宋体" w:hAnsi="宋体" w:cs="仿宋"/>
                <w:bCs/>
                <w:sz w:val="24"/>
              </w:rPr>
            </w:pPr>
            <w:r>
              <w:rPr>
                <w:rFonts w:hint="eastAsia" w:ascii="宋体" w:hAnsi="宋体" w:cs="仿宋"/>
                <w:bCs/>
                <w:sz w:val="24"/>
              </w:rPr>
              <w:t>1.3 检测日管理与审批</w:t>
            </w:r>
          </w:p>
        </w:tc>
        <w:tc>
          <w:tcPr>
            <w:tcW w:w="2467" w:type="pct"/>
            <w:shd w:val="clear" w:color="auto" w:fill="auto"/>
            <w:vAlign w:val="center"/>
          </w:tcPr>
          <w:p>
            <w:pPr>
              <w:spacing w:line="276" w:lineRule="auto"/>
              <w:ind w:right="63"/>
              <w:rPr>
                <w:rFonts w:ascii="宋体" w:hAnsi="宋体" w:cs="仿宋"/>
                <w:bCs/>
                <w:sz w:val="24"/>
              </w:rPr>
            </w:pPr>
            <w:r>
              <w:rPr>
                <w:rFonts w:hint="eastAsia" w:ascii="宋体" w:hAnsi="宋体" w:cs="仿宋"/>
                <w:bCs/>
                <w:sz w:val="24"/>
              </w:rPr>
              <w:t>系统可支持对实验室开展检验项目的检测工作日管理，其中新冠核酸检测最好可以自动从国家新冠病毒核酸检测平台中获取医疗机构开展检测的日期。</w:t>
            </w:r>
          </w:p>
          <w:p>
            <w:pPr>
              <w:spacing w:line="276" w:lineRule="auto"/>
              <w:ind w:right="63"/>
              <w:rPr>
                <w:rFonts w:ascii="宋体" w:hAnsi="宋体" w:cs="仿宋"/>
                <w:bCs/>
                <w:sz w:val="24"/>
              </w:rPr>
            </w:pPr>
            <w:r>
              <w:rPr>
                <w:rFonts w:hint="eastAsia" w:ascii="宋体" w:hAnsi="宋体" w:cs="仿宋"/>
                <w:bCs/>
                <w:sz w:val="24"/>
              </w:rPr>
              <w:t>支持临检中心对医疗机构申报的检测日信息进行审批管理。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927" w:type="pct"/>
            <w:vMerge w:val="continue"/>
            <w:shd w:val="clear" w:color="auto" w:fill="auto"/>
            <w:vAlign w:val="center"/>
          </w:tcPr>
          <w:p>
            <w:pPr>
              <w:spacing w:line="276" w:lineRule="auto"/>
              <w:ind w:right="63"/>
              <w:rPr>
                <w:rFonts w:ascii="宋体" w:hAnsi="宋体" w:cs="仿宋"/>
                <w:bCs/>
                <w:sz w:val="24"/>
              </w:rPr>
            </w:pPr>
          </w:p>
        </w:tc>
        <w:tc>
          <w:tcPr>
            <w:tcW w:w="1605" w:type="pct"/>
            <w:shd w:val="clear" w:color="auto" w:fill="auto"/>
            <w:vAlign w:val="center"/>
          </w:tcPr>
          <w:p>
            <w:pPr>
              <w:spacing w:line="276" w:lineRule="auto"/>
              <w:ind w:right="63"/>
              <w:rPr>
                <w:rFonts w:ascii="宋体" w:hAnsi="宋体" w:cs="仿宋"/>
                <w:bCs/>
                <w:sz w:val="24"/>
              </w:rPr>
            </w:pPr>
            <w:r>
              <w:rPr>
                <w:rFonts w:hint="eastAsia" w:ascii="宋体" w:hAnsi="宋体" w:cs="仿宋"/>
                <w:bCs/>
                <w:sz w:val="24"/>
              </w:rPr>
              <w:t>1.4 检测系统相关信息管理</w:t>
            </w:r>
          </w:p>
        </w:tc>
        <w:tc>
          <w:tcPr>
            <w:tcW w:w="2467" w:type="pct"/>
            <w:shd w:val="clear" w:color="auto" w:fill="auto"/>
            <w:vAlign w:val="center"/>
          </w:tcPr>
          <w:p>
            <w:pPr>
              <w:spacing w:line="276" w:lineRule="auto"/>
              <w:ind w:right="63"/>
              <w:rPr>
                <w:rFonts w:ascii="宋体" w:hAnsi="宋体" w:cs="仿宋"/>
                <w:bCs/>
                <w:sz w:val="24"/>
              </w:rPr>
            </w:pPr>
            <w:r>
              <w:rPr>
                <w:rFonts w:hint="eastAsia" w:ascii="宋体" w:hAnsi="宋体" w:cs="仿宋"/>
                <w:bCs/>
                <w:sz w:val="24"/>
              </w:rPr>
              <w:t>系统应支持检测系统（包括但不限于：仪器、试剂、校准物、检测方法、检测单位）统一管理。</w:t>
            </w:r>
          </w:p>
          <w:p>
            <w:pPr>
              <w:spacing w:line="276" w:lineRule="auto"/>
              <w:ind w:right="63"/>
              <w:rPr>
                <w:rFonts w:ascii="宋体" w:hAnsi="宋体" w:cs="仿宋"/>
                <w:bCs/>
                <w:sz w:val="24"/>
              </w:rPr>
            </w:pPr>
            <w:r>
              <w:rPr>
                <w:rFonts w:hint="eastAsia" w:ascii="宋体" w:hAnsi="宋体" w:cs="仿宋"/>
                <w:bCs/>
                <w:sz w:val="24"/>
              </w:rPr>
              <w:t>支持统一管理室内质控品信息。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927" w:type="pct"/>
            <w:vMerge w:val="restart"/>
            <w:shd w:val="clear" w:color="auto" w:fill="auto"/>
            <w:vAlign w:val="center"/>
          </w:tcPr>
          <w:p>
            <w:pPr>
              <w:spacing w:line="276" w:lineRule="auto"/>
              <w:ind w:right="63"/>
              <w:rPr>
                <w:rFonts w:ascii="宋体" w:hAnsi="宋体" w:cs="仿宋"/>
                <w:bCs/>
                <w:sz w:val="24"/>
              </w:rPr>
            </w:pPr>
            <w:r>
              <w:rPr>
                <w:rFonts w:hint="eastAsia" w:ascii="宋体" w:hAnsi="宋体" w:cs="仿宋"/>
                <w:bCs/>
                <w:sz w:val="24"/>
              </w:rPr>
              <w:t>2.质量评价系统</w:t>
            </w:r>
          </w:p>
        </w:tc>
        <w:tc>
          <w:tcPr>
            <w:tcW w:w="1605" w:type="pct"/>
            <w:shd w:val="clear" w:color="auto" w:fill="auto"/>
            <w:vAlign w:val="center"/>
          </w:tcPr>
          <w:p>
            <w:pPr>
              <w:spacing w:line="276" w:lineRule="auto"/>
              <w:ind w:right="63"/>
              <w:rPr>
                <w:rFonts w:ascii="宋体" w:hAnsi="宋体" w:cs="仿宋"/>
                <w:bCs/>
                <w:sz w:val="24"/>
              </w:rPr>
            </w:pPr>
            <w:r>
              <w:rPr>
                <w:rFonts w:hint="eastAsia" w:ascii="宋体" w:hAnsi="宋体" w:cs="仿宋"/>
                <w:bCs/>
                <w:sz w:val="24"/>
              </w:rPr>
              <w:t>2.1 室间质量评价</w:t>
            </w:r>
          </w:p>
        </w:tc>
        <w:tc>
          <w:tcPr>
            <w:tcW w:w="2467" w:type="pct"/>
            <w:shd w:val="clear" w:color="auto" w:fill="auto"/>
            <w:vAlign w:val="center"/>
          </w:tcPr>
          <w:p>
            <w:pPr>
              <w:spacing w:line="276" w:lineRule="auto"/>
              <w:ind w:right="63"/>
              <w:rPr>
                <w:rFonts w:ascii="宋体" w:hAnsi="宋体" w:cs="仿宋"/>
                <w:bCs/>
                <w:sz w:val="24"/>
              </w:rPr>
            </w:pPr>
            <w:r>
              <w:rPr>
                <w:rFonts w:hint="eastAsia" w:ascii="宋体" w:hAnsi="宋体" w:cs="仿宋"/>
                <w:bCs/>
                <w:sz w:val="24"/>
              </w:rPr>
              <w:t>系统应支持自动同步国家临检中心和广东省临检中心的室间质量评价数据和成绩。</w:t>
            </w:r>
          </w:p>
          <w:p>
            <w:pPr>
              <w:rPr>
                <w:rFonts w:ascii="宋体" w:hAnsi="宋体" w:cs="仿宋"/>
                <w:bCs/>
                <w:sz w:val="24"/>
              </w:rPr>
            </w:pPr>
            <w:r>
              <w:rPr>
                <w:rFonts w:hint="eastAsia" w:ascii="宋体" w:hAnsi="宋体" w:cs="仿宋"/>
                <w:bCs/>
                <w:sz w:val="24"/>
              </w:rPr>
              <w:t>监管每个实验室参加国家/省室间质量评价情况，掌握评价结果。提示超期未参与室间质量评价和成绩不合格的机构，统计各地市的室间质评参加率和合格率。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927" w:type="pct"/>
            <w:vMerge w:val="continue"/>
            <w:shd w:val="clear" w:color="auto" w:fill="auto"/>
            <w:vAlign w:val="center"/>
          </w:tcPr>
          <w:p>
            <w:pPr>
              <w:spacing w:line="276" w:lineRule="auto"/>
              <w:ind w:right="63"/>
              <w:rPr>
                <w:rFonts w:ascii="宋体" w:hAnsi="宋体" w:cs="仿宋"/>
                <w:bCs/>
                <w:sz w:val="24"/>
              </w:rPr>
            </w:pPr>
          </w:p>
        </w:tc>
        <w:tc>
          <w:tcPr>
            <w:tcW w:w="1605" w:type="pct"/>
            <w:shd w:val="clear" w:color="auto" w:fill="auto"/>
            <w:vAlign w:val="center"/>
          </w:tcPr>
          <w:p>
            <w:pPr>
              <w:spacing w:line="276" w:lineRule="auto"/>
              <w:ind w:right="63"/>
              <w:rPr>
                <w:rFonts w:ascii="宋体" w:hAnsi="宋体" w:cs="仿宋"/>
                <w:bCs/>
                <w:sz w:val="24"/>
              </w:rPr>
            </w:pPr>
            <w:r>
              <w:rPr>
                <w:rFonts w:hint="eastAsia" w:ascii="宋体" w:hAnsi="宋体" w:cs="仿宋"/>
                <w:bCs/>
                <w:sz w:val="24"/>
              </w:rPr>
              <w:t>2.2 室内质量管理</w:t>
            </w:r>
          </w:p>
        </w:tc>
        <w:tc>
          <w:tcPr>
            <w:tcW w:w="2467" w:type="pct"/>
            <w:shd w:val="clear" w:color="auto" w:fill="auto"/>
            <w:vAlign w:val="center"/>
          </w:tcPr>
          <w:p>
            <w:pPr>
              <w:spacing w:line="276" w:lineRule="auto"/>
              <w:ind w:right="63"/>
              <w:rPr>
                <w:rFonts w:ascii="宋体" w:hAnsi="宋体" w:cs="仿宋"/>
                <w:bCs/>
                <w:sz w:val="24"/>
              </w:rPr>
            </w:pPr>
            <w:r>
              <w:rPr>
                <w:rFonts w:hint="eastAsia" w:ascii="宋体" w:hAnsi="宋体" w:cs="仿宋"/>
                <w:bCs/>
                <w:sz w:val="24"/>
              </w:rPr>
              <w:t>系统应支持制定质量分析目标，根据质量分析目标统计实验室室内质控数据（包括但不限于：上报率、失控率、符合率、均值、SD、CV%，以及分组比对情况等）。</w:t>
            </w:r>
          </w:p>
          <w:p>
            <w:pPr>
              <w:spacing w:line="276" w:lineRule="auto"/>
              <w:ind w:right="63"/>
              <w:rPr>
                <w:rFonts w:ascii="宋体" w:hAnsi="宋体" w:cs="仿宋"/>
                <w:bCs/>
                <w:sz w:val="24"/>
              </w:rPr>
            </w:pPr>
            <w:r>
              <w:rPr>
                <w:rFonts w:hint="eastAsia" w:ascii="宋体" w:hAnsi="宋体" w:cs="仿宋"/>
                <w:bCs/>
                <w:sz w:val="24"/>
              </w:rPr>
              <w:t>同时支持中心统一设定质控规则和实验室自行设定质控规则两种模式。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927" w:type="pct"/>
            <w:vMerge w:val="continue"/>
            <w:shd w:val="clear" w:color="auto" w:fill="auto"/>
            <w:vAlign w:val="center"/>
          </w:tcPr>
          <w:p>
            <w:pPr>
              <w:spacing w:line="276" w:lineRule="auto"/>
              <w:ind w:right="63"/>
              <w:rPr>
                <w:rFonts w:ascii="宋体" w:hAnsi="宋体" w:cs="仿宋"/>
                <w:bCs/>
                <w:sz w:val="24"/>
              </w:rPr>
            </w:pPr>
          </w:p>
        </w:tc>
        <w:tc>
          <w:tcPr>
            <w:tcW w:w="1605" w:type="pct"/>
            <w:shd w:val="clear" w:color="auto" w:fill="auto"/>
            <w:vAlign w:val="center"/>
          </w:tcPr>
          <w:p>
            <w:pPr>
              <w:spacing w:line="276" w:lineRule="auto"/>
              <w:ind w:right="63"/>
              <w:rPr>
                <w:rFonts w:ascii="宋体" w:hAnsi="宋体" w:cs="仿宋"/>
                <w:bCs/>
                <w:sz w:val="24"/>
              </w:rPr>
            </w:pPr>
            <w:r>
              <w:rPr>
                <w:rFonts w:hint="eastAsia" w:ascii="宋体" w:hAnsi="宋体" w:cs="仿宋"/>
                <w:bCs/>
                <w:sz w:val="24"/>
              </w:rPr>
              <w:t>2.3 检验全过程质量指标管理</w:t>
            </w:r>
          </w:p>
        </w:tc>
        <w:tc>
          <w:tcPr>
            <w:tcW w:w="2467" w:type="pct"/>
            <w:shd w:val="clear" w:color="auto" w:fill="auto"/>
            <w:vAlign w:val="center"/>
          </w:tcPr>
          <w:p>
            <w:pPr>
              <w:spacing w:line="276" w:lineRule="auto"/>
              <w:ind w:right="63"/>
              <w:rPr>
                <w:rFonts w:ascii="宋体" w:hAnsi="宋体" w:cs="仿宋"/>
                <w:bCs/>
                <w:sz w:val="24"/>
              </w:rPr>
            </w:pPr>
            <w:r>
              <w:rPr>
                <w:rFonts w:hint="eastAsia" w:ascii="宋体" w:hAnsi="宋体" w:cs="仿宋"/>
                <w:bCs/>
                <w:sz w:val="24"/>
              </w:rPr>
              <w:t>系统应支持对接广东省临检中心检验全过程质量指标管理数据。</w:t>
            </w:r>
          </w:p>
          <w:p>
            <w:pPr>
              <w:spacing w:line="276" w:lineRule="auto"/>
              <w:ind w:right="63"/>
              <w:rPr>
                <w:rFonts w:ascii="宋体" w:hAnsi="宋体" w:cs="仿宋"/>
                <w:bCs/>
                <w:sz w:val="24"/>
              </w:rPr>
            </w:pPr>
            <w:r>
              <w:rPr>
                <w:rFonts w:hint="eastAsia" w:ascii="宋体" w:hAnsi="宋体" w:cs="仿宋"/>
                <w:bCs/>
                <w:sz w:val="24"/>
              </w:rPr>
              <w:t>支持自定义质量指标评分标准。</w:t>
            </w:r>
          </w:p>
          <w:p>
            <w:pPr>
              <w:spacing w:line="276" w:lineRule="auto"/>
              <w:ind w:right="63"/>
              <w:rPr>
                <w:rFonts w:ascii="宋体" w:hAnsi="宋体" w:cs="仿宋"/>
                <w:bCs/>
                <w:sz w:val="24"/>
              </w:rPr>
            </w:pPr>
            <w:r>
              <w:rPr>
                <w:rFonts w:hint="eastAsia" w:ascii="宋体" w:hAnsi="宋体" w:cs="仿宋"/>
                <w:bCs/>
                <w:sz w:val="24"/>
              </w:rPr>
              <w:t>监控实验室质量指标的上报情况，并对数据进行统计分析。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927" w:type="pct"/>
            <w:vMerge w:val="continue"/>
            <w:shd w:val="clear" w:color="auto" w:fill="auto"/>
            <w:vAlign w:val="center"/>
          </w:tcPr>
          <w:p>
            <w:pPr>
              <w:spacing w:line="276" w:lineRule="auto"/>
              <w:ind w:right="63"/>
              <w:rPr>
                <w:rFonts w:ascii="宋体" w:hAnsi="宋体" w:cs="仿宋"/>
                <w:bCs/>
                <w:sz w:val="24"/>
              </w:rPr>
            </w:pPr>
          </w:p>
        </w:tc>
        <w:tc>
          <w:tcPr>
            <w:tcW w:w="1605" w:type="pct"/>
            <w:shd w:val="clear" w:color="auto" w:fill="auto"/>
            <w:vAlign w:val="center"/>
          </w:tcPr>
          <w:p>
            <w:pPr>
              <w:spacing w:line="276" w:lineRule="auto"/>
              <w:ind w:right="63"/>
              <w:rPr>
                <w:rFonts w:ascii="宋体" w:hAnsi="宋体" w:cs="仿宋"/>
                <w:bCs/>
                <w:sz w:val="24"/>
              </w:rPr>
            </w:pPr>
            <w:r>
              <w:rPr>
                <w:rFonts w:hint="eastAsia" w:ascii="宋体" w:hAnsi="宋体" w:cs="仿宋"/>
                <w:bCs/>
                <w:sz w:val="24"/>
              </w:rPr>
              <w:t>2.4 现场检查</w:t>
            </w:r>
          </w:p>
        </w:tc>
        <w:tc>
          <w:tcPr>
            <w:tcW w:w="2467" w:type="pct"/>
            <w:shd w:val="clear" w:color="auto" w:fill="auto"/>
            <w:vAlign w:val="center"/>
          </w:tcPr>
          <w:p>
            <w:pPr>
              <w:spacing w:line="276" w:lineRule="auto"/>
              <w:ind w:right="63"/>
              <w:rPr>
                <w:rFonts w:ascii="宋体" w:hAnsi="宋体" w:cs="仿宋"/>
                <w:bCs/>
                <w:sz w:val="24"/>
              </w:rPr>
            </w:pPr>
            <w:r>
              <w:rPr>
                <w:rFonts w:hint="eastAsia" w:ascii="宋体" w:hAnsi="宋体" w:cs="仿宋"/>
                <w:bCs/>
                <w:sz w:val="24"/>
              </w:rPr>
              <w:t>系统应支持现场检查的全流程组织、报表定制、信息反馈和问题整改功能。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927" w:type="pct"/>
            <w:vMerge w:val="continue"/>
            <w:shd w:val="clear" w:color="auto" w:fill="auto"/>
            <w:vAlign w:val="center"/>
          </w:tcPr>
          <w:p>
            <w:pPr>
              <w:spacing w:line="276" w:lineRule="auto"/>
              <w:ind w:right="63"/>
              <w:rPr>
                <w:rFonts w:ascii="宋体" w:hAnsi="宋体" w:cs="仿宋"/>
                <w:bCs/>
                <w:sz w:val="24"/>
              </w:rPr>
            </w:pPr>
          </w:p>
        </w:tc>
        <w:tc>
          <w:tcPr>
            <w:tcW w:w="1605" w:type="pct"/>
            <w:shd w:val="clear" w:color="auto" w:fill="auto"/>
            <w:vAlign w:val="center"/>
          </w:tcPr>
          <w:p>
            <w:pPr>
              <w:spacing w:line="276" w:lineRule="auto"/>
              <w:ind w:right="63"/>
              <w:rPr>
                <w:rFonts w:ascii="宋体" w:hAnsi="宋体" w:cs="仿宋"/>
                <w:bCs/>
                <w:sz w:val="24"/>
              </w:rPr>
            </w:pPr>
            <w:r>
              <w:rPr>
                <w:rFonts w:hint="eastAsia" w:ascii="宋体" w:hAnsi="宋体" w:cs="仿宋"/>
                <w:bCs/>
                <w:sz w:val="24"/>
              </w:rPr>
              <w:t>2.5 参考区间</w:t>
            </w:r>
          </w:p>
        </w:tc>
        <w:tc>
          <w:tcPr>
            <w:tcW w:w="2467" w:type="pct"/>
            <w:shd w:val="clear" w:color="auto" w:fill="auto"/>
            <w:vAlign w:val="center"/>
          </w:tcPr>
          <w:p>
            <w:pPr>
              <w:spacing w:line="276" w:lineRule="auto"/>
              <w:ind w:right="63"/>
              <w:rPr>
                <w:rFonts w:ascii="宋体" w:hAnsi="宋体" w:cs="仿宋"/>
                <w:bCs/>
                <w:sz w:val="24"/>
              </w:rPr>
            </w:pPr>
            <w:r>
              <w:rPr>
                <w:rFonts w:hint="eastAsia" w:ascii="宋体" w:hAnsi="宋体" w:cs="仿宋"/>
                <w:bCs/>
                <w:sz w:val="24"/>
              </w:rPr>
              <w:t>系统应支持查看并统计检测系统的参考区间、临床决定限等信息。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927" w:type="pct"/>
            <w:vMerge w:val="continue"/>
            <w:shd w:val="clear" w:color="auto" w:fill="auto"/>
            <w:vAlign w:val="center"/>
          </w:tcPr>
          <w:p>
            <w:pPr>
              <w:spacing w:line="276" w:lineRule="auto"/>
              <w:ind w:right="63"/>
              <w:rPr>
                <w:rFonts w:ascii="宋体" w:hAnsi="宋体" w:cs="仿宋"/>
                <w:bCs/>
                <w:sz w:val="24"/>
              </w:rPr>
            </w:pPr>
          </w:p>
        </w:tc>
        <w:tc>
          <w:tcPr>
            <w:tcW w:w="1605" w:type="pct"/>
            <w:shd w:val="clear" w:color="auto" w:fill="auto"/>
            <w:vAlign w:val="center"/>
          </w:tcPr>
          <w:p>
            <w:pPr>
              <w:spacing w:line="276" w:lineRule="auto"/>
              <w:ind w:right="63"/>
              <w:rPr>
                <w:rFonts w:ascii="宋体" w:hAnsi="宋体" w:cs="仿宋"/>
                <w:bCs/>
                <w:sz w:val="24"/>
              </w:rPr>
            </w:pPr>
            <w:r>
              <w:rPr>
                <w:rFonts w:hint="eastAsia" w:ascii="宋体" w:hAnsi="宋体" w:cs="仿宋"/>
                <w:bCs/>
                <w:sz w:val="24"/>
              </w:rPr>
              <w:t>2.6 新鲜样本比对</w:t>
            </w:r>
          </w:p>
        </w:tc>
        <w:tc>
          <w:tcPr>
            <w:tcW w:w="2467" w:type="pct"/>
            <w:shd w:val="clear" w:color="auto" w:fill="auto"/>
            <w:vAlign w:val="center"/>
          </w:tcPr>
          <w:p>
            <w:pPr>
              <w:spacing w:line="276" w:lineRule="auto"/>
              <w:ind w:right="63"/>
              <w:rPr>
                <w:rFonts w:ascii="宋体" w:hAnsi="宋体" w:cs="仿宋"/>
                <w:bCs/>
                <w:sz w:val="24"/>
              </w:rPr>
            </w:pPr>
            <w:r>
              <w:rPr>
                <w:rFonts w:hint="eastAsia" w:ascii="宋体" w:hAnsi="宋体" w:cs="仿宋"/>
                <w:bCs/>
                <w:sz w:val="24"/>
              </w:rPr>
              <w:t>系统应支持完整的新鲜样本比对全流程组织、提供样本发放、数据上报、数据统计、报告反馈等功能。</w:t>
            </w:r>
          </w:p>
          <w:p>
            <w:pPr>
              <w:spacing w:line="276" w:lineRule="auto"/>
              <w:ind w:right="63"/>
              <w:rPr>
                <w:rFonts w:ascii="宋体" w:hAnsi="宋体" w:cs="仿宋"/>
                <w:bCs/>
                <w:sz w:val="24"/>
              </w:rPr>
            </w:pPr>
            <w:r>
              <w:rPr>
                <w:rFonts w:hint="eastAsia" w:ascii="宋体" w:hAnsi="宋体" w:cs="仿宋"/>
                <w:bCs/>
                <w:sz w:val="24"/>
              </w:rPr>
              <w:t>系统应配套盲样生产功能，实现实验室扫码获取随机编号上报数据，系统后台自动数据归集的功能。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927" w:type="pct"/>
            <w:vMerge w:val="continue"/>
            <w:shd w:val="clear" w:color="auto" w:fill="auto"/>
            <w:vAlign w:val="center"/>
          </w:tcPr>
          <w:p>
            <w:pPr>
              <w:spacing w:line="276" w:lineRule="auto"/>
              <w:ind w:right="63"/>
              <w:rPr>
                <w:rFonts w:ascii="宋体" w:hAnsi="宋体" w:cs="仿宋"/>
                <w:bCs/>
                <w:sz w:val="24"/>
              </w:rPr>
            </w:pPr>
          </w:p>
        </w:tc>
        <w:tc>
          <w:tcPr>
            <w:tcW w:w="1605" w:type="pct"/>
            <w:shd w:val="clear" w:color="auto" w:fill="auto"/>
            <w:vAlign w:val="center"/>
          </w:tcPr>
          <w:p>
            <w:pPr>
              <w:spacing w:line="276" w:lineRule="auto"/>
              <w:ind w:right="63"/>
              <w:rPr>
                <w:rFonts w:ascii="宋体" w:hAnsi="宋体" w:cs="仿宋"/>
                <w:bCs/>
                <w:sz w:val="24"/>
              </w:rPr>
            </w:pPr>
            <w:r>
              <w:rPr>
                <w:rFonts w:hint="eastAsia" w:ascii="宋体" w:hAnsi="宋体" w:cs="仿宋"/>
                <w:bCs/>
                <w:sz w:val="24"/>
              </w:rPr>
              <w:t>2.7 LDT信息管理</w:t>
            </w:r>
          </w:p>
        </w:tc>
        <w:tc>
          <w:tcPr>
            <w:tcW w:w="2467" w:type="pct"/>
            <w:shd w:val="clear" w:color="auto" w:fill="auto"/>
            <w:vAlign w:val="center"/>
          </w:tcPr>
          <w:p>
            <w:pPr>
              <w:spacing w:line="276" w:lineRule="auto"/>
              <w:ind w:right="63"/>
              <w:rPr>
                <w:rFonts w:ascii="宋体" w:hAnsi="宋体" w:cs="仿宋"/>
                <w:bCs/>
                <w:sz w:val="24"/>
              </w:rPr>
            </w:pPr>
            <w:r>
              <w:rPr>
                <w:rFonts w:hint="eastAsia" w:ascii="宋体" w:hAnsi="宋体" w:cs="仿宋"/>
                <w:bCs/>
                <w:sz w:val="24"/>
              </w:rPr>
              <w:t>系统应支持对LDT试剂的信息管理，支持对LDT试剂开展技术复评审。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927" w:type="pct"/>
            <w:vMerge w:val="continue"/>
            <w:shd w:val="clear" w:color="auto" w:fill="auto"/>
            <w:vAlign w:val="center"/>
          </w:tcPr>
          <w:p>
            <w:pPr>
              <w:spacing w:line="276" w:lineRule="auto"/>
              <w:ind w:right="63"/>
            </w:pPr>
          </w:p>
        </w:tc>
        <w:tc>
          <w:tcPr>
            <w:tcW w:w="1605" w:type="pct"/>
            <w:shd w:val="clear" w:color="auto" w:fill="auto"/>
            <w:vAlign w:val="center"/>
          </w:tcPr>
          <w:p>
            <w:pPr>
              <w:spacing w:line="276" w:lineRule="auto"/>
              <w:ind w:right="63"/>
              <w:rPr>
                <w:rFonts w:ascii="宋体" w:hAnsi="宋体" w:cs="仿宋"/>
                <w:bCs/>
                <w:sz w:val="24"/>
              </w:rPr>
            </w:pPr>
            <w:r>
              <w:rPr>
                <w:rFonts w:hint="eastAsia" w:ascii="宋体" w:hAnsi="宋体" w:cs="仿宋"/>
                <w:bCs/>
                <w:sz w:val="24"/>
              </w:rPr>
              <w:t>2.8 互认质量评价系统</w:t>
            </w:r>
          </w:p>
        </w:tc>
        <w:tc>
          <w:tcPr>
            <w:tcW w:w="2467" w:type="pct"/>
            <w:shd w:val="clear" w:color="auto" w:fill="auto"/>
            <w:vAlign w:val="center"/>
          </w:tcPr>
          <w:p>
            <w:pPr>
              <w:spacing w:line="276" w:lineRule="auto"/>
              <w:ind w:right="63"/>
              <w:rPr>
                <w:rFonts w:ascii="宋体" w:hAnsi="宋体" w:cs="仿宋"/>
                <w:bCs/>
                <w:sz w:val="24"/>
              </w:rPr>
            </w:pPr>
            <w:r>
              <w:rPr>
                <w:rFonts w:hint="eastAsia" w:ascii="宋体" w:hAnsi="宋体" w:cs="仿宋"/>
                <w:bCs/>
                <w:sz w:val="24"/>
              </w:rPr>
              <w:t>系统能整合2.1-2.6的质量评价结果，按照质量评价标准开展全面的质量评价，并汇总综合质量评价结果。</w:t>
            </w:r>
          </w:p>
          <w:p>
            <w:pPr>
              <w:spacing w:line="276" w:lineRule="auto"/>
              <w:ind w:right="63"/>
              <w:rPr>
                <w:rFonts w:ascii="宋体" w:hAnsi="宋体" w:cs="仿宋"/>
                <w:bCs/>
                <w:sz w:val="24"/>
              </w:rPr>
            </w:pPr>
            <w:r>
              <w:rPr>
                <w:rFonts w:hint="eastAsia" w:ascii="宋体" w:hAnsi="宋体" w:cs="仿宋"/>
                <w:bCs/>
                <w:sz w:val="24"/>
              </w:rPr>
              <w:t>系统应支持分检测系统的单位自动转换，在开展数据统计时，自动将实验室上报的数据转换到统计单位进行统一数据分析。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927" w:type="pct"/>
            <w:vMerge w:val="restart"/>
            <w:shd w:val="clear" w:color="auto" w:fill="auto"/>
            <w:vAlign w:val="center"/>
          </w:tcPr>
          <w:p>
            <w:pPr>
              <w:spacing w:line="276" w:lineRule="auto"/>
              <w:ind w:right="63"/>
              <w:rPr>
                <w:rFonts w:ascii="宋体" w:hAnsi="宋体" w:cs="仿宋"/>
                <w:bCs/>
                <w:sz w:val="24"/>
              </w:rPr>
            </w:pPr>
            <w:r>
              <w:rPr>
                <w:rFonts w:hint="eastAsia" w:ascii="宋体" w:hAnsi="宋体" w:cs="仿宋"/>
                <w:bCs/>
                <w:sz w:val="24"/>
              </w:rPr>
              <w:t>3.可视化监控</w:t>
            </w:r>
          </w:p>
        </w:tc>
        <w:tc>
          <w:tcPr>
            <w:tcW w:w="1605" w:type="pct"/>
            <w:shd w:val="clear" w:color="auto" w:fill="auto"/>
            <w:vAlign w:val="center"/>
          </w:tcPr>
          <w:p>
            <w:pPr>
              <w:spacing w:line="276" w:lineRule="auto"/>
              <w:ind w:right="63"/>
              <w:rPr>
                <w:rFonts w:ascii="宋体" w:hAnsi="宋体" w:cs="仿宋"/>
                <w:bCs/>
                <w:sz w:val="24"/>
              </w:rPr>
            </w:pPr>
            <w:r>
              <w:rPr>
                <w:rFonts w:hint="eastAsia" w:ascii="宋体" w:hAnsi="宋体" w:cs="仿宋"/>
                <w:bCs/>
                <w:sz w:val="24"/>
              </w:rPr>
              <w:t>3.1 质量管理监控</w:t>
            </w:r>
          </w:p>
        </w:tc>
        <w:tc>
          <w:tcPr>
            <w:tcW w:w="2467" w:type="pct"/>
            <w:shd w:val="clear" w:color="auto" w:fill="auto"/>
            <w:vAlign w:val="center"/>
          </w:tcPr>
          <w:p>
            <w:pPr>
              <w:spacing w:line="276" w:lineRule="auto"/>
              <w:ind w:right="63"/>
              <w:rPr>
                <w:rFonts w:ascii="宋体" w:hAnsi="宋体" w:cs="仿宋"/>
                <w:bCs/>
                <w:sz w:val="24"/>
              </w:rPr>
            </w:pPr>
            <w:r>
              <w:rPr>
                <w:rFonts w:hint="eastAsia" w:ascii="宋体" w:hAnsi="宋体" w:cs="仿宋"/>
                <w:bCs/>
                <w:sz w:val="24"/>
              </w:rPr>
              <w:t>系统应具备质量可视化实时管理功能，通过监控大屏统一展示各质量管理维度的情况，通过色彩、形状等手段凸显质量问题。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927" w:type="pct"/>
            <w:vMerge w:val="continue"/>
            <w:shd w:val="clear" w:color="auto" w:fill="auto"/>
            <w:vAlign w:val="center"/>
          </w:tcPr>
          <w:p>
            <w:pPr>
              <w:spacing w:line="276" w:lineRule="auto"/>
              <w:ind w:right="63"/>
              <w:rPr>
                <w:rFonts w:ascii="宋体" w:hAnsi="宋体" w:cs="仿宋"/>
                <w:bCs/>
                <w:sz w:val="24"/>
              </w:rPr>
            </w:pPr>
          </w:p>
        </w:tc>
        <w:tc>
          <w:tcPr>
            <w:tcW w:w="1605" w:type="pct"/>
            <w:shd w:val="clear" w:color="auto" w:fill="auto"/>
            <w:vAlign w:val="center"/>
          </w:tcPr>
          <w:p>
            <w:pPr>
              <w:spacing w:line="276" w:lineRule="auto"/>
              <w:ind w:right="63"/>
              <w:rPr>
                <w:rFonts w:ascii="宋体" w:hAnsi="宋体" w:cs="仿宋"/>
                <w:bCs/>
                <w:sz w:val="24"/>
              </w:rPr>
            </w:pPr>
            <w:r>
              <w:rPr>
                <w:rFonts w:hint="eastAsia" w:ascii="宋体" w:hAnsi="宋体" w:cs="仿宋"/>
                <w:bCs/>
                <w:sz w:val="24"/>
              </w:rPr>
              <w:t>3.2 室内质控实时监控</w:t>
            </w:r>
          </w:p>
        </w:tc>
        <w:tc>
          <w:tcPr>
            <w:tcW w:w="2467" w:type="pct"/>
            <w:shd w:val="clear" w:color="auto" w:fill="auto"/>
            <w:vAlign w:val="center"/>
          </w:tcPr>
          <w:p>
            <w:pPr>
              <w:spacing w:line="276" w:lineRule="auto"/>
              <w:ind w:right="63"/>
              <w:rPr>
                <w:rFonts w:ascii="宋体" w:hAnsi="宋体" w:cs="仿宋"/>
                <w:bCs/>
                <w:sz w:val="24"/>
              </w:rPr>
            </w:pPr>
            <w:r>
              <w:rPr>
                <w:rFonts w:hint="eastAsia" w:ascii="宋体" w:hAnsi="宋体" w:cs="仿宋"/>
                <w:bCs/>
                <w:sz w:val="24"/>
              </w:rPr>
              <w:t>系统应具备实验室室内质量实时监控功能，通过可视化大屏，实时监控每个医疗机构实验室当日质量是否合格，并通过色彩、形状等手段突出未开展质控、质控失控等问题。</w:t>
            </w:r>
          </w:p>
          <w:p>
            <w:pPr>
              <w:spacing w:line="276" w:lineRule="auto"/>
              <w:ind w:right="63"/>
              <w:rPr>
                <w:rFonts w:ascii="宋体" w:hAnsi="宋体" w:cs="仿宋"/>
                <w:bCs/>
                <w:sz w:val="24"/>
              </w:rPr>
            </w:pPr>
            <w:r>
              <w:rPr>
                <w:rFonts w:hint="eastAsia" w:ascii="宋体" w:hAnsi="宋体" w:cs="仿宋"/>
                <w:bCs/>
                <w:sz w:val="24"/>
              </w:rPr>
              <w:t>系统应支持通过监控大屏远程穿透查看实验室室内质控全部数据、信息、图表等。</w:t>
            </w:r>
          </w:p>
          <w:p>
            <w:pPr>
              <w:spacing w:line="276" w:lineRule="auto"/>
              <w:ind w:right="63"/>
              <w:rPr>
                <w:rFonts w:ascii="宋体" w:hAnsi="宋体" w:cs="仿宋"/>
                <w:bCs/>
                <w:sz w:val="24"/>
              </w:rPr>
            </w:pPr>
            <w:r>
              <w:rPr>
                <w:rFonts w:hint="eastAsia" w:ascii="宋体" w:hAnsi="宋体" w:cs="仿宋"/>
                <w:bCs/>
                <w:sz w:val="24"/>
              </w:rPr>
              <w:t>系统应支持通过监控大屏对实验室发送实时消息。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927" w:type="pct"/>
            <w:vMerge w:val="restart"/>
            <w:shd w:val="clear" w:color="auto" w:fill="auto"/>
            <w:vAlign w:val="center"/>
          </w:tcPr>
          <w:p>
            <w:pPr>
              <w:spacing w:line="276" w:lineRule="auto"/>
              <w:ind w:right="63"/>
              <w:rPr>
                <w:rFonts w:ascii="宋体" w:hAnsi="宋体" w:cs="仿宋"/>
                <w:bCs/>
                <w:sz w:val="24"/>
              </w:rPr>
            </w:pPr>
            <w:r>
              <w:rPr>
                <w:rFonts w:hint="eastAsia" w:ascii="宋体" w:hAnsi="宋体" w:cs="仿宋"/>
                <w:bCs/>
                <w:sz w:val="24"/>
              </w:rPr>
              <w:t>4.消息告警</w:t>
            </w:r>
          </w:p>
        </w:tc>
        <w:tc>
          <w:tcPr>
            <w:tcW w:w="1605" w:type="pct"/>
            <w:shd w:val="clear" w:color="auto" w:fill="auto"/>
            <w:vAlign w:val="center"/>
          </w:tcPr>
          <w:p>
            <w:pPr>
              <w:spacing w:line="276" w:lineRule="auto"/>
              <w:ind w:right="63"/>
              <w:rPr>
                <w:rFonts w:ascii="宋体" w:hAnsi="宋体" w:cs="仿宋"/>
                <w:bCs/>
                <w:sz w:val="24"/>
              </w:rPr>
            </w:pPr>
            <w:r>
              <w:rPr>
                <w:rFonts w:hint="eastAsia" w:ascii="宋体" w:hAnsi="宋体" w:cs="仿宋"/>
                <w:bCs/>
                <w:sz w:val="24"/>
              </w:rPr>
              <w:t>4.1 自动告警消息</w:t>
            </w:r>
          </w:p>
        </w:tc>
        <w:tc>
          <w:tcPr>
            <w:tcW w:w="2467" w:type="pct"/>
            <w:shd w:val="clear" w:color="auto" w:fill="auto"/>
            <w:vAlign w:val="center"/>
          </w:tcPr>
          <w:p>
            <w:pPr>
              <w:spacing w:line="276" w:lineRule="auto"/>
              <w:ind w:right="63"/>
              <w:rPr>
                <w:rFonts w:ascii="宋体" w:hAnsi="宋体" w:cs="仿宋"/>
                <w:bCs/>
                <w:sz w:val="24"/>
              </w:rPr>
            </w:pPr>
            <w:r>
              <w:rPr>
                <w:rFonts w:hint="eastAsia" w:ascii="宋体" w:hAnsi="宋体" w:cs="仿宋"/>
                <w:bCs/>
                <w:sz w:val="24"/>
              </w:rPr>
              <w:t>系统应具备自动告警功能，通过设置告警条件信息，自动向实验室推送告警消息。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927" w:type="pct"/>
            <w:vMerge w:val="continue"/>
            <w:shd w:val="clear" w:color="auto" w:fill="auto"/>
            <w:vAlign w:val="center"/>
          </w:tcPr>
          <w:p>
            <w:pPr>
              <w:spacing w:line="276" w:lineRule="auto"/>
              <w:ind w:right="63"/>
              <w:rPr>
                <w:rFonts w:ascii="宋体" w:hAnsi="宋体" w:cs="仿宋"/>
                <w:bCs/>
                <w:sz w:val="24"/>
              </w:rPr>
            </w:pPr>
          </w:p>
        </w:tc>
        <w:tc>
          <w:tcPr>
            <w:tcW w:w="1605" w:type="pct"/>
            <w:shd w:val="clear" w:color="auto" w:fill="auto"/>
            <w:vAlign w:val="center"/>
          </w:tcPr>
          <w:p>
            <w:pPr>
              <w:spacing w:line="276" w:lineRule="auto"/>
              <w:ind w:right="63"/>
              <w:rPr>
                <w:rFonts w:ascii="宋体" w:hAnsi="宋体" w:cs="仿宋"/>
                <w:bCs/>
                <w:sz w:val="24"/>
              </w:rPr>
            </w:pPr>
            <w:r>
              <w:rPr>
                <w:rFonts w:hint="eastAsia" w:ascii="宋体" w:hAnsi="宋体" w:cs="仿宋"/>
                <w:bCs/>
                <w:sz w:val="24"/>
              </w:rPr>
              <w:t>4.2 消息统计</w:t>
            </w:r>
          </w:p>
        </w:tc>
        <w:tc>
          <w:tcPr>
            <w:tcW w:w="2467" w:type="pct"/>
            <w:shd w:val="clear" w:color="auto" w:fill="auto"/>
            <w:vAlign w:val="center"/>
          </w:tcPr>
          <w:p>
            <w:pPr>
              <w:spacing w:line="276" w:lineRule="auto"/>
              <w:ind w:right="63"/>
              <w:rPr>
                <w:rFonts w:ascii="宋体" w:hAnsi="宋体" w:cs="仿宋"/>
                <w:bCs/>
                <w:sz w:val="24"/>
              </w:rPr>
            </w:pPr>
            <w:r>
              <w:rPr>
                <w:rFonts w:hint="eastAsia" w:ascii="宋体" w:hAnsi="宋体" w:cs="仿宋"/>
                <w:bCs/>
                <w:sz w:val="24"/>
              </w:rPr>
              <w:t>系统应具备消息统计功能，统计消息发送的数量、类别及反馈信息。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927" w:type="pct"/>
            <w:shd w:val="clear" w:color="auto" w:fill="auto"/>
            <w:vAlign w:val="center"/>
          </w:tcPr>
          <w:p>
            <w:pPr>
              <w:spacing w:line="276" w:lineRule="auto"/>
              <w:ind w:right="63"/>
              <w:rPr>
                <w:rFonts w:ascii="宋体" w:hAnsi="宋体" w:cs="仿宋"/>
                <w:bCs/>
                <w:sz w:val="24"/>
              </w:rPr>
            </w:pPr>
            <w:r>
              <w:rPr>
                <w:rFonts w:hint="eastAsia" w:ascii="宋体" w:hAnsi="宋体" w:cs="仿宋"/>
                <w:bCs/>
                <w:sz w:val="24"/>
              </w:rPr>
              <w:t>5.数据统计</w:t>
            </w:r>
          </w:p>
        </w:tc>
        <w:tc>
          <w:tcPr>
            <w:tcW w:w="1605" w:type="pct"/>
            <w:shd w:val="clear" w:color="auto" w:fill="auto"/>
            <w:vAlign w:val="center"/>
          </w:tcPr>
          <w:p>
            <w:pPr>
              <w:spacing w:line="276" w:lineRule="auto"/>
              <w:ind w:right="63"/>
              <w:rPr>
                <w:rFonts w:ascii="宋体" w:hAnsi="宋体" w:cs="仿宋"/>
                <w:bCs/>
                <w:sz w:val="24"/>
              </w:rPr>
            </w:pPr>
            <w:r>
              <w:rPr>
                <w:rFonts w:hint="eastAsia" w:ascii="宋体" w:hAnsi="宋体" w:cs="仿宋"/>
                <w:bCs/>
                <w:sz w:val="24"/>
              </w:rPr>
              <w:t>5.1 机构信息统计</w:t>
            </w:r>
          </w:p>
        </w:tc>
        <w:tc>
          <w:tcPr>
            <w:tcW w:w="2467" w:type="pct"/>
            <w:shd w:val="clear" w:color="auto" w:fill="auto"/>
            <w:vAlign w:val="center"/>
          </w:tcPr>
          <w:p>
            <w:pPr>
              <w:spacing w:line="276" w:lineRule="auto"/>
              <w:ind w:right="63"/>
              <w:rPr>
                <w:rFonts w:ascii="宋体" w:hAnsi="宋体" w:cs="仿宋"/>
                <w:bCs/>
                <w:sz w:val="24"/>
              </w:rPr>
            </w:pPr>
            <w:r>
              <w:rPr>
                <w:rFonts w:hint="eastAsia" w:ascii="宋体" w:hAnsi="宋体" w:cs="仿宋"/>
                <w:bCs/>
                <w:sz w:val="24"/>
              </w:rPr>
              <w:t>系统应具备统计医疗机构实验室信息和质量合格情况的功能，支持按机构职能、机构等级、机构性质等多维度的统计。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927" w:type="pct"/>
            <w:shd w:val="clear" w:color="auto" w:fill="auto"/>
            <w:vAlign w:val="center"/>
          </w:tcPr>
          <w:p>
            <w:pPr>
              <w:spacing w:line="276" w:lineRule="auto"/>
              <w:ind w:right="63"/>
              <w:rPr>
                <w:rFonts w:ascii="宋体" w:hAnsi="宋体" w:cs="仿宋"/>
                <w:bCs/>
                <w:sz w:val="24"/>
              </w:rPr>
            </w:pPr>
          </w:p>
        </w:tc>
        <w:tc>
          <w:tcPr>
            <w:tcW w:w="1605" w:type="pct"/>
            <w:shd w:val="clear" w:color="auto" w:fill="auto"/>
            <w:vAlign w:val="center"/>
          </w:tcPr>
          <w:p>
            <w:pPr>
              <w:spacing w:line="276" w:lineRule="auto"/>
              <w:ind w:right="63"/>
              <w:rPr>
                <w:rFonts w:ascii="宋体" w:hAnsi="宋体" w:cs="仿宋"/>
                <w:bCs/>
                <w:sz w:val="24"/>
              </w:rPr>
            </w:pPr>
            <w:r>
              <w:rPr>
                <w:rFonts w:hint="eastAsia" w:ascii="宋体" w:hAnsi="宋体" w:cs="仿宋"/>
                <w:bCs/>
                <w:sz w:val="24"/>
              </w:rPr>
              <w:t>5.2 互认质量评价结果统计</w:t>
            </w:r>
          </w:p>
        </w:tc>
        <w:tc>
          <w:tcPr>
            <w:tcW w:w="2467" w:type="pct"/>
            <w:shd w:val="clear" w:color="auto" w:fill="auto"/>
            <w:vAlign w:val="center"/>
          </w:tcPr>
          <w:p>
            <w:pPr>
              <w:spacing w:line="276" w:lineRule="auto"/>
              <w:ind w:right="63"/>
              <w:rPr>
                <w:rFonts w:ascii="宋体" w:hAnsi="宋体" w:cs="仿宋"/>
                <w:bCs/>
                <w:sz w:val="24"/>
              </w:rPr>
            </w:pPr>
            <w:r>
              <w:rPr>
                <w:rFonts w:hint="eastAsia" w:ascii="宋体" w:hAnsi="宋体" w:cs="仿宋"/>
                <w:bCs/>
                <w:sz w:val="24"/>
              </w:rPr>
              <w:t>系统应支持统计医疗机构实验室的互认质量评价结果，以及各质量评价维度的评价结果（室间质评、室内质控、质量指标、现场检查、参考区间等）。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927" w:type="pct"/>
            <w:shd w:val="clear" w:color="auto" w:fill="auto"/>
            <w:vAlign w:val="center"/>
          </w:tcPr>
          <w:p>
            <w:pPr>
              <w:spacing w:line="276" w:lineRule="auto"/>
              <w:ind w:right="63"/>
              <w:rPr>
                <w:rFonts w:ascii="宋体" w:hAnsi="宋体" w:cs="仿宋"/>
                <w:bCs/>
                <w:sz w:val="24"/>
              </w:rPr>
            </w:pPr>
          </w:p>
        </w:tc>
        <w:tc>
          <w:tcPr>
            <w:tcW w:w="1605" w:type="pct"/>
            <w:shd w:val="clear" w:color="auto" w:fill="auto"/>
            <w:vAlign w:val="center"/>
          </w:tcPr>
          <w:p>
            <w:pPr>
              <w:spacing w:line="276" w:lineRule="auto"/>
              <w:ind w:right="63"/>
              <w:rPr>
                <w:rFonts w:ascii="宋体" w:hAnsi="宋体" w:cs="仿宋"/>
                <w:bCs/>
                <w:sz w:val="24"/>
              </w:rPr>
            </w:pPr>
            <w:r>
              <w:rPr>
                <w:rFonts w:hint="eastAsia" w:ascii="宋体" w:hAnsi="宋体" w:cs="仿宋"/>
                <w:bCs/>
                <w:sz w:val="24"/>
              </w:rPr>
              <w:t>5.3 不合格原因统计</w:t>
            </w:r>
          </w:p>
        </w:tc>
        <w:tc>
          <w:tcPr>
            <w:tcW w:w="2467" w:type="pct"/>
            <w:shd w:val="clear" w:color="auto" w:fill="auto"/>
            <w:vAlign w:val="center"/>
          </w:tcPr>
          <w:p>
            <w:pPr>
              <w:spacing w:line="276" w:lineRule="auto"/>
              <w:ind w:right="63"/>
              <w:rPr>
                <w:rFonts w:ascii="宋体" w:hAnsi="宋体" w:cs="仿宋"/>
                <w:bCs/>
                <w:sz w:val="24"/>
              </w:rPr>
            </w:pPr>
            <w:r>
              <w:rPr>
                <w:rFonts w:hint="eastAsia" w:ascii="宋体" w:hAnsi="宋体" w:cs="仿宋"/>
                <w:bCs/>
                <w:sz w:val="24"/>
              </w:rPr>
              <w:t>系统应支持对质量不合格的实验室开展不合格原因分析，至少支持按实验室和按检测项目两个维度的数据分析，并支持数据导出。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927" w:type="pct"/>
            <w:shd w:val="clear" w:color="auto" w:fill="auto"/>
            <w:vAlign w:val="center"/>
          </w:tcPr>
          <w:p>
            <w:pPr>
              <w:spacing w:line="276" w:lineRule="auto"/>
              <w:ind w:right="63"/>
              <w:rPr>
                <w:rFonts w:ascii="宋体" w:hAnsi="宋体" w:cs="仿宋"/>
                <w:bCs/>
                <w:sz w:val="24"/>
              </w:rPr>
            </w:pPr>
          </w:p>
        </w:tc>
        <w:tc>
          <w:tcPr>
            <w:tcW w:w="1605" w:type="pct"/>
            <w:shd w:val="clear" w:color="auto" w:fill="auto"/>
            <w:vAlign w:val="center"/>
          </w:tcPr>
          <w:p>
            <w:pPr>
              <w:spacing w:line="276" w:lineRule="auto"/>
              <w:ind w:right="63"/>
              <w:rPr>
                <w:rFonts w:ascii="宋体" w:hAnsi="宋体" w:cs="仿宋"/>
                <w:bCs/>
                <w:sz w:val="24"/>
              </w:rPr>
            </w:pPr>
            <w:r>
              <w:rPr>
                <w:rFonts w:hint="eastAsia" w:ascii="宋体" w:hAnsi="宋体" w:cs="仿宋"/>
                <w:bCs/>
                <w:sz w:val="24"/>
              </w:rPr>
              <w:t>5.4数据上报情况统计</w:t>
            </w:r>
          </w:p>
        </w:tc>
        <w:tc>
          <w:tcPr>
            <w:tcW w:w="2467" w:type="pct"/>
            <w:shd w:val="clear" w:color="auto" w:fill="auto"/>
            <w:vAlign w:val="center"/>
          </w:tcPr>
          <w:p>
            <w:pPr>
              <w:spacing w:line="276" w:lineRule="auto"/>
              <w:ind w:right="63"/>
              <w:rPr>
                <w:rFonts w:ascii="宋体" w:hAnsi="宋体" w:cs="仿宋"/>
                <w:bCs/>
                <w:sz w:val="24"/>
              </w:rPr>
            </w:pPr>
            <w:r>
              <w:rPr>
                <w:rFonts w:hint="eastAsia" w:ascii="宋体" w:hAnsi="宋体" w:cs="仿宋"/>
                <w:bCs/>
                <w:sz w:val="24"/>
              </w:rPr>
              <w:t>系统应支持实时统计各实验室数据上报的情况（包括但不限于上报数据点数、上报率等），重点标注未按规定上报数据的单位。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927" w:type="pct"/>
            <w:shd w:val="clear" w:color="auto" w:fill="auto"/>
            <w:vAlign w:val="center"/>
          </w:tcPr>
          <w:p>
            <w:pPr>
              <w:spacing w:line="276" w:lineRule="auto"/>
              <w:ind w:right="63"/>
              <w:rPr>
                <w:rFonts w:ascii="宋体" w:hAnsi="宋体" w:cs="仿宋"/>
                <w:bCs/>
                <w:sz w:val="24"/>
              </w:rPr>
            </w:pPr>
          </w:p>
        </w:tc>
        <w:tc>
          <w:tcPr>
            <w:tcW w:w="1605" w:type="pct"/>
            <w:shd w:val="clear" w:color="auto" w:fill="auto"/>
            <w:vAlign w:val="center"/>
          </w:tcPr>
          <w:p>
            <w:pPr>
              <w:spacing w:line="276" w:lineRule="auto"/>
              <w:ind w:right="63"/>
              <w:rPr>
                <w:rFonts w:ascii="宋体" w:hAnsi="宋体" w:cs="仿宋"/>
                <w:bCs/>
                <w:sz w:val="24"/>
              </w:rPr>
            </w:pPr>
            <w:r>
              <w:rPr>
                <w:rFonts w:hint="eastAsia" w:ascii="宋体" w:hAnsi="宋体" w:cs="仿宋"/>
                <w:bCs/>
                <w:sz w:val="24"/>
              </w:rPr>
              <w:t>5.5 信息反馈统计</w:t>
            </w:r>
          </w:p>
        </w:tc>
        <w:tc>
          <w:tcPr>
            <w:tcW w:w="2467" w:type="pct"/>
            <w:shd w:val="clear" w:color="auto" w:fill="auto"/>
            <w:vAlign w:val="center"/>
          </w:tcPr>
          <w:p>
            <w:pPr>
              <w:spacing w:line="276" w:lineRule="auto"/>
              <w:ind w:right="63"/>
              <w:rPr>
                <w:rFonts w:ascii="宋体" w:hAnsi="宋体" w:cs="仿宋"/>
                <w:bCs/>
                <w:sz w:val="24"/>
              </w:rPr>
            </w:pPr>
            <w:r>
              <w:rPr>
                <w:rFonts w:hint="eastAsia" w:ascii="宋体" w:hAnsi="宋体" w:cs="仿宋"/>
                <w:bCs/>
                <w:sz w:val="24"/>
              </w:rPr>
              <w:t>系统应支持统计实验室反馈的信息，并进行归类，分析实验室质量管理的难点和风险点。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927" w:type="pct"/>
            <w:shd w:val="clear" w:color="auto" w:fill="auto"/>
            <w:vAlign w:val="center"/>
          </w:tcPr>
          <w:p>
            <w:pPr>
              <w:spacing w:line="276" w:lineRule="auto"/>
              <w:ind w:right="63"/>
              <w:rPr>
                <w:rFonts w:ascii="宋体" w:hAnsi="宋体" w:cs="仿宋"/>
                <w:bCs/>
                <w:sz w:val="24"/>
              </w:rPr>
            </w:pPr>
          </w:p>
        </w:tc>
        <w:tc>
          <w:tcPr>
            <w:tcW w:w="1605" w:type="pct"/>
            <w:shd w:val="clear" w:color="auto" w:fill="auto"/>
            <w:vAlign w:val="center"/>
          </w:tcPr>
          <w:p>
            <w:pPr>
              <w:spacing w:line="276" w:lineRule="auto"/>
              <w:ind w:right="63"/>
              <w:rPr>
                <w:rFonts w:ascii="宋体" w:hAnsi="宋体" w:cs="仿宋"/>
                <w:bCs/>
                <w:sz w:val="24"/>
              </w:rPr>
            </w:pPr>
            <w:r>
              <w:rPr>
                <w:rFonts w:hint="eastAsia" w:ascii="宋体" w:hAnsi="宋体" w:cs="仿宋"/>
                <w:bCs/>
                <w:sz w:val="24"/>
              </w:rPr>
              <w:t>5.6 失控处理统计</w:t>
            </w:r>
          </w:p>
        </w:tc>
        <w:tc>
          <w:tcPr>
            <w:tcW w:w="2467" w:type="pct"/>
            <w:shd w:val="clear" w:color="auto" w:fill="auto"/>
            <w:vAlign w:val="center"/>
          </w:tcPr>
          <w:p>
            <w:pPr>
              <w:spacing w:line="276" w:lineRule="auto"/>
              <w:ind w:right="63"/>
              <w:rPr>
                <w:rFonts w:ascii="宋体" w:hAnsi="宋体" w:cs="仿宋"/>
                <w:bCs/>
                <w:sz w:val="24"/>
              </w:rPr>
            </w:pPr>
            <w:r>
              <w:rPr>
                <w:rFonts w:hint="eastAsia" w:ascii="宋体" w:hAnsi="宋体" w:cs="仿宋"/>
                <w:bCs/>
                <w:sz w:val="24"/>
              </w:rPr>
              <w:t>系统应支持失控原因、失控纠正、改进措施的信息统计。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927" w:type="pct"/>
            <w:shd w:val="clear" w:color="auto" w:fill="auto"/>
            <w:vAlign w:val="center"/>
          </w:tcPr>
          <w:p>
            <w:pPr>
              <w:spacing w:line="276" w:lineRule="auto"/>
              <w:ind w:right="63"/>
              <w:rPr>
                <w:rFonts w:ascii="宋体" w:hAnsi="宋体" w:cs="仿宋"/>
                <w:bCs/>
                <w:sz w:val="24"/>
              </w:rPr>
            </w:pPr>
            <w:r>
              <w:rPr>
                <w:rFonts w:hint="eastAsia" w:ascii="宋体" w:hAnsi="宋体" w:cs="仿宋"/>
                <w:bCs/>
                <w:sz w:val="24"/>
              </w:rPr>
              <w:t>6.报告和证书</w:t>
            </w:r>
          </w:p>
        </w:tc>
        <w:tc>
          <w:tcPr>
            <w:tcW w:w="1605" w:type="pct"/>
            <w:shd w:val="clear" w:color="auto" w:fill="auto"/>
            <w:vAlign w:val="center"/>
          </w:tcPr>
          <w:p>
            <w:pPr>
              <w:spacing w:line="276" w:lineRule="auto"/>
              <w:ind w:right="63"/>
              <w:rPr>
                <w:rFonts w:ascii="宋体" w:hAnsi="宋体" w:cs="仿宋"/>
                <w:bCs/>
                <w:sz w:val="24"/>
              </w:rPr>
            </w:pPr>
            <w:r>
              <w:rPr>
                <w:rFonts w:hint="eastAsia" w:ascii="宋体" w:hAnsi="宋体" w:cs="仿宋"/>
                <w:bCs/>
                <w:sz w:val="24"/>
              </w:rPr>
              <w:t>6.1 实验室月度质量分析报告</w:t>
            </w:r>
          </w:p>
        </w:tc>
        <w:tc>
          <w:tcPr>
            <w:tcW w:w="2467" w:type="pct"/>
            <w:shd w:val="clear" w:color="auto" w:fill="auto"/>
            <w:vAlign w:val="center"/>
          </w:tcPr>
          <w:p>
            <w:pPr>
              <w:spacing w:line="276" w:lineRule="auto"/>
              <w:ind w:right="63"/>
              <w:rPr>
                <w:rFonts w:ascii="宋体" w:hAnsi="宋体" w:cs="仿宋"/>
                <w:bCs/>
                <w:sz w:val="24"/>
              </w:rPr>
            </w:pPr>
            <w:r>
              <w:rPr>
                <w:rFonts w:hint="eastAsia" w:ascii="宋体" w:hAnsi="宋体" w:cs="仿宋"/>
                <w:bCs/>
                <w:sz w:val="24"/>
              </w:rPr>
              <w:t>实验室月度互认报告应集中总结实验室的质量不合格项和相关信息，方便实验室聚焦重点问题。</w:t>
            </w:r>
          </w:p>
          <w:p>
            <w:pPr>
              <w:spacing w:line="276" w:lineRule="auto"/>
              <w:ind w:right="63"/>
              <w:rPr>
                <w:rFonts w:ascii="宋体" w:hAnsi="宋体" w:cs="仿宋"/>
                <w:bCs/>
                <w:sz w:val="24"/>
              </w:rPr>
            </w:pPr>
            <w:r>
              <w:rPr>
                <w:rFonts w:hint="eastAsia" w:ascii="宋体" w:hAnsi="宋体" w:cs="仿宋"/>
                <w:bCs/>
                <w:sz w:val="24"/>
              </w:rPr>
              <w:t>报告内容应针对每个质量评价维度进行分析评价，包括但不限于：室内质控上报率、实验室质控数据（均值、SD、CV%等）、比对组质控数据（均值、偏倚、CVI、SDI、CV%分布等）、消息反馈率、失控纠正率等。</w:t>
            </w:r>
          </w:p>
          <w:p>
            <w:pPr>
              <w:spacing w:line="276" w:lineRule="auto"/>
              <w:ind w:right="63"/>
              <w:rPr>
                <w:rFonts w:ascii="宋体" w:hAnsi="宋体" w:cs="仿宋"/>
                <w:bCs/>
                <w:sz w:val="24"/>
              </w:rPr>
            </w:pPr>
            <w:r>
              <w:rPr>
                <w:rFonts w:hint="eastAsia" w:ascii="宋体" w:hAnsi="宋体" w:cs="仿宋"/>
                <w:bCs/>
                <w:sz w:val="24"/>
              </w:rPr>
              <w:t>报告应提供各类统计图（如：条形图、Youden图、箱式图等），方便实验室查看本实验室与区域其他实验室的差距。</w:t>
            </w:r>
          </w:p>
          <w:p>
            <w:pPr>
              <w:spacing w:line="276" w:lineRule="auto"/>
              <w:ind w:right="63"/>
              <w:rPr>
                <w:rFonts w:ascii="宋体" w:hAnsi="宋体" w:cs="仿宋"/>
                <w:bCs/>
                <w:sz w:val="24"/>
              </w:rPr>
            </w:pPr>
            <w:r>
              <w:rPr>
                <w:rFonts w:hint="eastAsia" w:ascii="宋体" w:hAnsi="宋体" w:cs="仿宋"/>
                <w:bCs/>
                <w:sz w:val="24"/>
              </w:rPr>
              <w:t>报告中的数据都应使用实验室上报的检测单位。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927" w:type="pct"/>
            <w:shd w:val="clear" w:color="auto" w:fill="auto"/>
            <w:vAlign w:val="center"/>
          </w:tcPr>
          <w:p>
            <w:pPr>
              <w:spacing w:line="276" w:lineRule="auto"/>
              <w:ind w:right="63"/>
              <w:rPr>
                <w:rFonts w:ascii="宋体" w:hAnsi="宋体" w:cs="仿宋"/>
                <w:bCs/>
                <w:sz w:val="24"/>
              </w:rPr>
            </w:pPr>
          </w:p>
        </w:tc>
        <w:tc>
          <w:tcPr>
            <w:tcW w:w="1605" w:type="pct"/>
            <w:shd w:val="clear" w:color="auto" w:fill="auto"/>
            <w:vAlign w:val="center"/>
          </w:tcPr>
          <w:p>
            <w:pPr>
              <w:spacing w:line="276" w:lineRule="auto"/>
              <w:ind w:right="63"/>
              <w:rPr>
                <w:rFonts w:ascii="宋体" w:hAnsi="宋体" w:cs="仿宋"/>
                <w:bCs/>
                <w:sz w:val="24"/>
              </w:rPr>
            </w:pPr>
            <w:r>
              <w:rPr>
                <w:rFonts w:hint="eastAsia" w:ascii="宋体" w:hAnsi="宋体" w:cs="仿宋"/>
                <w:bCs/>
                <w:sz w:val="24"/>
              </w:rPr>
              <w:t>6.2 实验室年度质量评价报告</w:t>
            </w:r>
          </w:p>
        </w:tc>
        <w:tc>
          <w:tcPr>
            <w:tcW w:w="2467" w:type="pct"/>
            <w:shd w:val="clear" w:color="auto" w:fill="auto"/>
            <w:vAlign w:val="center"/>
          </w:tcPr>
          <w:p>
            <w:pPr>
              <w:spacing w:line="276" w:lineRule="auto"/>
              <w:ind w:right="63"/>
              <w:rPr>
                <w:rFonts w:ascii="宋体" w:hAnsi="宋体" w:cs="仿宋"/>
                <w:bCs/>
                <w:sz w:val="24"/>
              </w:rPr>
            </w:pPr>
            <w:r>
              <w:rPr>
                <w:rFonts w:hint="eastAsia" w:ascii="宋体" w:hAnsi="宋体" w:cs="仿宋"/>
                <w:bCs/>
                <w:sz w:val="24"/>
              </w:rPr>
              <w:t>实验室年度质量评价报告应涵盖2.1-2.6的所有评价维度的分析结果。</w:t>
            </w:r>
          </w:p>
          <w:p>
            <w:pPr>
              <w:spacing w:line="276" w:lineRule="auto"/>
              <w:ind w:right="63"/>
              <w:rPr>
                <w:rFonts w:ascii="宋体" w:hAnsi="宋体" w:cs="仿宋"/>
                <w:bCs/>
                <w:sz w:val="24"/>
              </w:rPr>
            </w:pPr>
            <w:r>
              <w:rPr>
                <w:rFonts w:hint="eastAsia" w:ascii="宋体" w:hAnsi="宋体" w:cs="仿宋"/>
                <w:bCs/>
                <w:sz w:val="24"/>
              </w:rPr>
              <w:t>明确各质量评价维度的统计周期和评价标准。显示各质量评价维度的原始数据、评价标准、评价结果，方便实验室全面掌握质量情况。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927" w:type="pct"/>
            <w:shd w:val="clear" w:color="auto" w:fill="auto"/>
            <w:vAlign w:val="center"/>
          </w:tcPr>
          <w:p>
            <w:pPr>
              <w:spacing w:line="276" w:lineRule="auto"/>
              <w:ind w:right="63"/>
              <w:rPr>
                <w:rFonts w:ascii="宋体" w:hAnsi="宋体" w:cs="仿宋"/>
                <w:bCs/>
                <w:sz w:val="24"/>
              </w:rPr>
            </w:pPr>
          </w:p>
        </w:tc>
        <w:tc>
          <w:tcPr>
            <w:tcW w:w="1605" w:type="pct"/>
            <w:shd w:val="clear" w:color="auto" w:fill="auto"/>
            <w:vAlign w:val="center"/>
          </w:tcPr>
          <w:p>
            <w:pPr>
              <w:spacing w:line="276" w:lineRule="auto"/>
              <w:ind w:right="63"/>
              <w:rPr>
                <w:rFonts w:ascii="宋体" w:hAnsi="宋体" w:cs="仿宋"/>
                <w:bCs/>
                <w:sz w:val="24"/>
              </w:rPr>
            </w:pPr>
            <w:r>
              <w:rPr>
                <w:rFonts w:hint="eastAsia" w:ascii="宋体" w:hAnsi="宋体" w:cs="仿宋"/>
                <w:bCs/>
                <w:sz w:val="24"/>
              </w:rPr>
              <w:t>6.3 质量评价证书</w:t>
            </w:r>
          </w:p>
        </w:tc>
        <w:tc>
          <w:tcPr>
            <w:tcW w:w="2467" w:type="pct"/>
            <w:shd w:val="clear" w:color="auto" w:fill="auto"/>
            <w:vAlign w:val="center"/>
          </w:tcPr>
          <w:p>
            <w:pPr>
              <w:spacing w:line="276" w:lineRule="auto"/>
              <w:ind w:right="63"/>
              <w:rPr>
                <w:rFonts w:ascii="宋体" w:hAnsi="宋体" w:cs="仿宋"/>
                <w:bCs/>
                <w:sz w:val="24"/>
              </w:rPr>
            </w:pPr>
            <w:r>
              <w:rPr>
                <w:rFonts w:hint="eastAsia" w:ascii="宋体" w:hAnsi="宋体" w:cs="仿宋"/>
                <w:bCs/>
                <w:sz w:val="24"/>
              </w:rPr>
              <w:t>系统应支持自动生成质量评价证书，内容应涵盖但不限于：机构名称、实验室名称、评价时间、合格项目清单、有效期等信息。</w:t>
            </w:r>
          </w:p>
          <w:p>
            <w:pPr>
              <w:spacing w:line="276" w:lineRule="auto"/>
              <w:ind w:right="63"/>
              <w:rPr>
                <w:rFonts w:ascii="宋体" w:hAnsi="宋体" w:cs="仿宋"/>
                <w:bCs/>
                <w:sz w:val="24"/>
              </w:rPr>
            </w:pPr>
            <w:r>
              <w:rPr>
                <w:rFonts w:hint="eastAsia" w:ascii="宋体" w:hAnsi="宋体" w:cs="仿宋"/>
                <w:bCs/>
                <w:sz w:val="24"/>
              </w:rPr>
              <w:t>系统应支持加盖电子印章。</w:t>
            </w:r>
          </w:p>
        </w:tc>
      </w:tr>
    </w:tbl>
    <w:p>
      <w:pPr>
        <w:spacing w:line="360" w:lineRule="auto"/>
        <w:rPr>
          <w:rFonts w:hint="eastAsia" w:ascii="宋体" w:hAnsi="宋体"/>
          <w:sz w:val="24"/>
          <w:szCs w:val="24"/>
        </w:rPr>
      </w:pPr>
    </w:p>
    <w:tbl>
      <w:tblPr>
        <w:tblStyle w:val="64"/>
        <w:tblpPr w:leftFromText="180" w:rightFromText="180" w:vertAnchor="text" w:tblpY="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1"/>
        <w:gridCol w:w="2981"/>
        <w:gridCol w:w="4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5000" w:type="pct"/>
            <w:gridSpan w:val="3"/>
            <w:shd w:val="clear" w:color="auto" w:fill="auto"/>
            <w:vAlign w:val="center"/>
          </w:tcPr>
          <w:p>
            <w:pPr>
              <w:spacing w:line="276" w:lineRule="auto"/>
              <w:ind w:right="63"/>
              <w:jc w:val="center"/>
              <w:rPr>
                <w:rFonts w:ascii="宋体" w:hAnsi="宋体" w:cs="仿宋"/>
                <w:bCs/>
                <w:sz w:val="24"/>
              </w:rPr>
            </w:pPr>
            <w:r>
              <w:rPr>
                <w:rFonts w:hint="eastAsia" w:ascii="宋体" w:hAnsi="宋体"/>
                <w:b/>
                <w:bCs/>
                <w:sz w:val="24"/>
                <w:szCs w:val="24"/>
              </w:rPr>
              <w:t>广东省检验结果互认及质量管理系统客户端功能需求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927" w:type="pct"/>
            <w:shd w:val="clear" w:color="auto" w:fill="auto"/>
            <w:vAlign w:val="center"/>
          </w:tcPr>
          <w:p>
            <w:pPr>
              <w:spacing w:line="276" w:lineRule="auto"/>
              <w:ind w:right="63"/>
              <w:jc w:val="center"/>
              <w:rPr>
                <w:rFonts w:ascii="宋体" w:hAnsi="宋体" w:cs="仿宋"/>
                <w:bCs/>
                <w:sz w:val="24"/>
              </w:rPr>
            </w:pPr>
            <w:r>
              <w:rPr>
                <w:rFonts w:hint="eastAsia" w:ascii="宋体" w:hAnsi="宋体" w:cs="仿宋"/>
                <w:bCs/>
                <w:sz w:val="24"/>
              </w:rPr>
              <w:t>模块</w:t>
            </w:r>
          </w:p>
        </w:tc>
        <w:tc>
          <w:tcPr>
            <w:tcW w:w="1605" w:type="pct"/>
            <w:shd w:val="clear" w:color="auto" w:fill="auto"/>
            <w:vAlign w:val="center"/>
          </w:tcPr>
          <w:p>
            <w:pPr>
              <w:spacing w:line="276" w:lineRule="auto"/>
              <w:ind w:right="63"/>
              <w:jc w:val="center"/>
              <w:rPr>
                <w:rFonts w:ascii="宋体" w:hAnsi="宋体" w:cs="仿宋"/>
                <w:bCs/>
                <w:sz w:val="24"/>
              </w:rPr>
            </w:pPr>
            <w:r>
              <w:rPr>
                <w:rFonts w:hint="eastAsia" w:ascii="宋体" w:hAnsi="宋体" w:cs="仿宋"/>
                <w:bCs/>
                <w:sz w:val="24"/>
              </w:rPr>
              <w:t>功能</w:t>
            </w:r>
          </w:p>
        </w:tc>
        <w:tc>
          <w:tcPr>
            <w:tcW w:w="2468" w:type="pct"/>
            <w:shd w:val="clear" w:color="auto" w:fill="auto"/>
            <w:vAlign w:val="center"/>
          </w:tcPr>
          <w:p>
            <w:pPr>
              <w:spacing w:line="276" w:lineRule="auto"/>
              <w:ind w:right="63"/>
              <w:jc w:val="center"/>
              <w:rPr>
                <w:rFonts w:ascii="宋体" w:hAnsi="宋体" w:cs="仿宋"/>
                <w:bCs/>
                <w:sz w:val="24"/>
              </w:rPr>
            </w:pPr>
            <w:r>
              <w:rPr>
                <w:rFonts w:hint="eastAsia" w:ascii="宋体" w:hAnsi="宋体" w:cs="仿宋"/>
                <w:bCs/>
                <w:sz w:val="24"/>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927" w:type="pct"/>
            <w:vMerge w:val="restart"/>
            <w:shd w:val="clear" w:color="auto" w:fill="auto"/>
            <w:vAlign w:val="center"/>
          </w:tcPr>
          <w:p>
            <w:pPr>
              <w:spacing w:line="276" w:lineRule="auto"/>
              <w:ind w:right="63"/>
              <w:rPr>
                <w:rFonts w:ascii="宋体" w:hAnsi="宋体" w:cs="仿宋"/>
                <w:bCs/>
                <w:sz w:val="24"/>
              </w:rPr>
            </w:pPr>
            <w:r>
              <w:rPr>
                <w:rFonts w:hint="eastAsia" w:ascii="宋体" w:hAnsi="宋体" w:cs="仿宋"/>
                <w:bCs/>
                <w:sz w:val="24"/>
              </w:rPr>
              <w:t>1</w:t>
            </w:r>
            <w:r>
              <w:rPr>
                <w:rFonts w:ascii="宋体" w:hAnsi="宋体" w:cs="仿宋"/>
                <w:bCs/>
                <w:sz w:val="24"/>
              </w:rPr>
              <w:t>.</w:t>
            </w:r>
            <w:r>
              <w:rPr>
                <w:rFonts w:hint="eastAsia" w:ascii="宋体" w:hAnsi="宋体" w:cs="仿宋"/>
                <w:bCs/>
                <w:sz w:val="24"/>
              </w:rPr>
              <w:t>数据上报</w:t>
            </w:r>
          </w:p>
        </w:tc>
        <w:tc>
          <w:tcPr>
            <w:tcW w:w="1605" w:type="pct"/>
            <w:shd w:val="clear" w:color="auto" w:fill="auto"/>
            <w:vAlign w:val="center"/>
          </w:tcPr>
          <w:p>
            <w:pPr>
              <w:spacing w:line="276" w:lineRule="auto"/>
              <w:ind w:right="63"/>
              <w:rPr>
                <w:rFonts w:ascii="宋体" w:hAnsi="宋体" w:cs="仿宋"/>
                <w:bCs/>
                <w:sz w:val="24"/>
              </w:rPr>
            </w:pPr>
            <w:r>
              <w:rPr>
                <w:rFonts w:hint="eastAsia" w:ascii="宋体" w:hAnsi="宋体" w:cs="仿宋"/>
                <w:bCs/>
                <w:sz w:val="24"/>
              </w:rPr>
              <w:t>1</w:t>
            </w:r>
            <w:r>
              <w:rPr>
                <w:rFonts w:ascii="宋体" w:hAnsi="宋体" w:cs="仿宋"/>
                <w:bCs/>
                <w:sz w:val="24"/>
              </w:rPr>
              <w:t>.1</w:t>
            </w:r>
            <w:r>
              <w:rPr>
                <w:rFonts w:hint="eastAsia" w:ascii="宋体" w:hAnsi="宋体" w:cs="仿宋"/>
                <w:bCs/>
                <w:sz w:val="24"/>
              </w:rPr>
              <w:t>检测系统信息上报</w:t>
            </w:r>
          </w:p>
        </w:tc>
        <w:tc>
          <w:tcPr>
            <w:tcW w:w="2468" w:type="pct"/>
            <w:shd w:val="clear" w:color="auto" w:fill="auto"/>
            <w:vAlign w:val="center"/>
          </w:tcPr>
          <w:p>
            <w:pPr>
              <w:spacing w:line="276" w:lineRule="auto"/>
              <w:ind w:right="63"/>
              <w:rPr>
                <w:rFonts w:ascii="宋体" w:hAnsi="宋体" w:cs="仿宋"/>
                <w:bCs/>
                <w:sz w:val="24"/>
              </w:rPr>
            </w:pPr>
            <w:r>
              <w:rPr>
                <w:rFonts w:hint="eastAsia" w:ascii="宋体" w:hAnsi="宋体" w:cs="仿宋"/>
                <w:bCs/>
                <w:sz w:val="24"/>
              </w:rPr>
              <w:t>包括但不限于：仪器型号、试剂、检测方法、等信息在内的整体管理检测体系信息。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927" w:type="pct"/>
            <w:vMerge w:val="continue"/>
            <w:shd w:val="clear" w:color="auto" w:fill="auto"/>
            <w:vAlign w:val="center"/>
          </w:tcPr>
          <w:p>
            <w:pPr>
              <w:spacing w:line="276" w:lineRule="auto"/>
              <w:ind w:right="63"/>
              <w:rPr>
                <w:rFonts w:ascii="宋体" w:hAnsi="宋体" w:cs="仿宋"/>
                <w:bCs/>
                <w:sz w:val="24"/>
              </w:rPr>
            </w:pPr>
          </w:p>
        </w:tc>
        <w:tc>
          <w:tcPr>
            <w:tcW w:w="1605" w:type="pct"/>
            <w:shd w:val="clear" w:color="auto" w:fill="auto"/>
            <w:vAlign w:val="center"/>
          </w:tcPr>
          <w:p>
            <w:pPr>
              <w:spacing w:line="276" w:lineRule="auto"/>
              <w:ind w:right="63"/>
              <w:rPr>
                <w:rFonts w:ascii="宋体" w:hAnsi="宋体" w:cs="仿宋"/>
                <w:bCs/>
                <w:sz w:val="24"/>
              </w:rPr>
            </w:pPr>
            <w:r>
              <w:rPr>
                <w:rFonts w:hint="eastAsia" w:ascii="宋体" w:hAnsi="宋体" w:cs="仿宋"/>
                <w:bCs/>
                <w:sz w:val="24"/>
              </w:rPr>
              <w:t>1</w:t>
            </w:r>
            <w:r>
              <w:rPr>
                <w:rFonts w:ascii="宋体" w:hAnsi="宋体" w:cs="仿宋"/>
                <w:bCs/>
                <w:sz w:val="24"/>
              </w:rPr>
              <w:t>.2</w:t>
            </w:r>
            <w:r>
              <w:rPr>
                <w:rFonts w:hint="eastAsia" w:ascii="宋体" w:hAnsi="宋体" w:cs="仿宋"/>
                <w:bCs/>
                <w:sz w:val="24"/>
              </w:rPr>
              <w:t>室内质控数据上报</w:t>
            </w:r>
          </w:p>
        </w:tc>
        <w:tc>
          <w:tcPr>
            <w:tcW w:w="2468" w:type="pct"/>
            <w:shd w:val="clear" w:color="auto" w:fill="auto"/>
            <w:vAlign w:val="center"/>
          </w:tcPr>
          <w:p>
            <w:pPr>
              <w:spacing w:line="276" w:lineRule="auto"/>
              <w:ind w:right="63"/>
              <w:rPr>
                <w:rFonts w:ascii="宋体" w:hAnsi="宋体" w:cs="仿宋"/>
                <w:bCs/>
                <w:sz w:val="24"/>
              </w:rPr>
            </w:pPr>
            <w:r>
              <w:rPr>
                <w:rFonts w:hint="eastAsia" w:ascii="宋体" w:hAnsi="宋体" w:cs="仿宋"/>
                <w:bCs/>
                <w:sz w:val="24"/>
              </w:rPr>
              <w:t>系统应提供实验室开展室内质量管理的同时完成数据上报。</w:t>
            </w:r>
          </w:p>
          <w:p>
            <w:pPr>
              <w:spacing w:line="276" w:lineRule="auto"/>
              <w:ind w:right="63"/>
              <w:rPr>
                <w:rFonts w:ascii="宋体" w:hAnsi="宋体" w:cs="仿宋"/>
                <w:bCs/>
                <w:sz w:val="24"/>
              </w:rPr>
            </w:pPr>
            <w:r>
              <w:rPr>
                <w:rFonts w:hint="eastAsia" w:ascii="宋体" w:hAnsi="宋体" w:cs="仿宋"/>
                <w:bCs/>
                <w:sz w:val="24"/>
              </w:rPr>
              <w:t>上报数据包括但不限于：质控原始结果、失控报告、质控图、质控规则、判定限、均值、标准差、CV%等。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927" w:type="pct"/>
            <w:vMerge w:val="continue"/>
            <w:shd w:val="clear" w:color="auto" w:fill="auto"/>
            <w:vAlign w:val="center"/>
          </w:tcPr>
          <w:p>
            <w:pPr>
              <w:spacing w:line="276" w:lineRule="auto"/>
              <w:ind w:right="63"/>
              <w:rPr>
                <w:rFonts w:ascii="宋体" w:hAnsi="宋体" w:cs="仿宋"/>
                <w:bCs/>
                <w:sz w:val="24"/>
              </w:rPr>
            </w:pPr>
          </w:p>
        </w:tc>
        <w:tc>
          <w:tcPr>
            <w:tcW w:w="1605" w:type="pct"/>
            <w:shd w:val="clear" w:color="auto" w:fill="auto"/>
            <w:vAlign w:val="center"/>
          </w:tcPr>
          <w:p>
            <w:pPr>
              <w:spacing w:line="276" w:lineRule="auto"/>
              <w:ind w:right="63"/>
              <w:rPr>
                <w:rFonts w:ascii="宋体" w:hAnsi="宋体" w:cs="仿宋"/>
                <w:bCs/>
                <w:sz w:val="24"/>
              </w:rPr>
            </w:pPr>
            <w:r>
              <w:rPr>
                <w:rFonts w:hint="eastAsia" w:ascii="宋体" w:hAnsi="宋体" w:cs="仿宋"/>
                <w:bCs/>
                <w:sz w:val="24"/>
              </w:rPr>
              <w:t>1</w:t>
            </w:r>
            <w:r>
              <w:rPr>
                <w:rFonts w:ascii="宋体" w:hAnsi="宋体" w:cs="仿宋"/>
                <w:bCs/>
                <w:sz w:val="24"/>
              </w:rPr>
              <w:t>.3</w:t>
            </w:r>
            <w:r>
              <w:rPr>
                <w:rFonts w:hint="eastAsia" w:ascii="宋体" w:hAnsi="宋体" w:cs="仿宋"/>
                <w:bCs/>
                <w:sz w:val="24"/>
              </w:rPr>
              <w:t>参考区间上报</w:t>
            </w:r>
          </w:p>
        </w:tc>
        <w:tc>
          <w:tcPr>
            <w:tcW w:w="2468" w:type="pct"/>
            <w:shd w:val="clear" w:color="auto" w:fill="auto"/>
            <w:vAlign w:val="center"/>
          </w:tcPr>
          <w:p>
            <w:pPr>
              <w:spacing w:line="276" w:lineRule="auto"/>
              <w:ind w:right="63"/>
              <w:rPr>
                <w:rFonts w:ascii="宋体" w:hAnsi="宋体" w:cs="仿宋"/>
                <w:bCs/>
                <w:sz w:val="24"/>
              </w:rPr>
            </w:pPr>
            <w:r>
              <w:rPr>
                <w:rFonts w:hint="eastAsia" w:ascii="宋体" w:hAnsi="宋体" w:cs="仿宋"/>
                <w:bCs/>
                <w:sz w:val="24"/>
              </w:rPr>
              <w:t>包括：检测项目、检测系统信息、医学决定限、参考区间等信息。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927" w:type="pct"/>
            <w:vMerge w:val="continue"/>
            <w:shd w:val="clear" w:color="auto" w:fill="auto"/>
            <w:vAlign w:val="center"/>
          </w:tcPr>
          <w:p>
            <w:pPr>
              <w:spacing w:line="276" w:lineRule="auto"/>
              <w:ind w:right="63"/>
              <w:rPr>
                <w:rFonts w:ascii="宋体" w:hAnsi="宋体" w:cs="仿宋"/>
                <w:bCs/>
                <w:sz w:val="24"/>
              </w:rPr>
            </w:pPr>
          </w:p>
        </w:tc>
        <w:tc>
          <w:tcPr>
            <w:tcW w:w="1605" w:type="pct"/>
            <w:shd w:val="clear" w:color="auto" w:fill="auto"/>
            <w:vAlign w:val="center"/>
          </w:tcPr>
          <w:p>
            <w:pPr>
              <w:spacing w:line="276" w:lineRule="auto"/>
              <w:ind w:right="63"/>
              <w:rPr>
                <w:rFonts w:ascii="宋体" w:hAnsi="宋体" w:cs="仿宋"/>
                <w:bCs/>
                <w:sz w:val="24"/>
              </w:rPr>
            </w:pPr>
            <w:r>
              <w:rPr>
                <w:rFonts w:hint="eastAsia" w:ascii="宋体" w:hAnsi="宋体" w:cs="仿宋"/>
                <w:bCs/>
                <w:sz w:val="24"/>
              </w:rPr>
              <w:t>1</w:t>
            </w:r>
            <w:r>
              <w:rPr>
                <w:rFonts w:ascii="宋体" w:hAnsi="宋体" w:cs="仿宋"/>
                <w:bCs/>
                <w:sz w:val="24"/>
              </w:rPr>
              <w:t>.4</w:t>
            </w:r>
            <w:r>
              <w:rPr>
                <w:rFonts w:hint="eastAsia" w:ascii="宋体" w:hAnsi="宋体" w:cs="仿宋"/>
                <w:bCs/>
                <w:sz w:val="24"/>
              </w:rPr>
              <w:t>新鲜样本比对数据</w:t>
            </w:r>
          </w:p>
        </w:tc>
        <w:tc>
          <w:tcPr>
            <w:tcW w:w="2468" w:type="pct"/>
            <w:shd w:val="clear" w:color="auto" w:fill="auto"/>
            <w:vAlign w:val="center"/>
          </w:tcPr>
          <w:p>
            <w:pPr>
              <w:spacing w:line="276" w:lineRule="auto"/>
              <w:ind w:right="63"/>
              <w:rPr>
                <w:rFonts w:ascii="宋体" w:hAnsi="宋体" w:cs="仿宋"/>
                <w:bCs/>
                <w:sz w:val="24"/>
              </w:rPr>
            </w:pPr>
            <w:r>
              <w:rPr>
                <w:rFonts w:hint="eastAsia" w:ascii="宋体" w:hAnsi="宋体" w:cs="仿宋"/>
                <w:bCs/>
                <w:sz w:val="24"/>
              </w:rPr>
              <w:t>上报比对样本的检测结果及检测系统信息。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927" w:type="pct"/>
            <w:vMerge w:val="continue"/>
            <w:shd w:val="clear" w:color="auto" w:fill="auto"/>
            <w:vAlign w:val="center"/>
          </w:tcPr>
          <w:p>
            <w:pPr>
              <w:spacing w:line="276" w:lineRule="auto"/>
              <w:ind w:right="63"/>
              <w:rPr>
                <w:rFonts w:ascii="宋体" w:hAnsi="宋体" w:cs="仿宋"/>
                <w:bCs/>
                <w:sz w:val="24"/>
              </w:rPr>
            </w:pPr>
          </w:p>
        </w:tc>
        <w:tc>
          <w:tcPr>
            <w:tcW w:w="1605" w:type="pct"/>
            <w:shd w:val="clear" w:color="auto" w:fill="auto"/>
            <w:vAlign w:val="center"/>
          </w:tcPr>
          <w:p>
            <w:pPr>
              <w:spacing w:line="276" w:lineRule="auto"/>
              <w:ind w:right="63"/>
              <w:rPr>
                <w:rFonts w:ascii="宋体" w:hAnsi="宋体" w:cs="仿宋"/>
                <w:bCs/>
                <w:sz w:val="24"/>
              </w:rPr>
            </w:pPr>
            <w:r>
              <w:rPr>
                <w:rFonts w:hint="eastAsia" w:ascii="宋体" w:hAnsi="宋体" w:cs="仿宋"/>
                <w:bCs/>
                <w:sz w:val="24"/>
              </w:rPr>
              <w:t>1</w:t>
            </w:r>
            <w:r>
              <w:rPr>
                <w:rFonts w:ascii="宋体" w:hAnsi="宋体" w:cs="仿宋"/>
                <w:bCs/>
                <w:sz w:val="24"/>
              </w:rPr>
              <w:t>.5</w:t>
            </w:r>
            <w:r>
              <w:rPr>
                <w:rFonts w:hint="eastAsia" w:ascii="宋体" w:hAnsi="宋体" w:cs="仿宋"/>
                <w:bCs/>
                <w:sz w:val="24"/>
              </w:rPr>
              <w:t>数据自动采集</w:t>
            </w:r>
          </w:p>
        </w:tc>
        <w:tc>
          <w:tcPr>
            <w:tcW w:w="2468" w:type="pct"/>
            <w:shd w:val="clear" w:color="auto" w:fill="auto"/>
            <w:vAlign w:val="center"/>
          </w:tcPr>
          <w:p>
            <w:pPr>
              <w:spacing w:line="276" w:lineRule="auto"/>
              <w:ind w:right="63"/>
              <w:rPr>
                <w:rFonts w:ascii="宋体" w:hAnsi="宋体" w:cs="仿宋"/>
                <w:bCs/>
                <w:sz w:val="24"/>
              </w:rPr>
            </w:pPr>
            <w:r>
              <w:rPr>
                <w:rFonts w:hint="eastAsia" w:ascii="宋体" w:hAnsi="宋体" w:cs="仿宋"/>
                <w:bCs/>
                <w:sz w:val="24"/>
              </w:rPr>
              <w:t>系统应支持与医疗机构信息系统对接，实现数据的自动采集上报，减轻实验室的上报压力。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927" w:type="pct"/>
            <w:vMerge w:val="restart"/>
            <w:shd w:val="clear" w:color="auto" w:fill="auto"/>
            <w:vAlign w:val="center"/>
          </w:tcPr>
          <w:p>
            <w:pPr>
              <w:spacing w:line="276" w:lineRule="auto"/>
              <w:ind w:right="63"/>
              <w:rPr>
                <w:rFonts w:ascii="宋体" w:hAnsi="宋体" w:cs="仿宋"/>
                <w:bCs/>
                <w:sz w:val="24"/>
              </w:rPr>
            </w:pPr>
            <w:r>
              <w:rPr>
                <w:rFonts w:hint="eastAsia" w:ascii="宋体" w:hAnsi="宋体" w:cs="仿宋"/>
                <w:bCs/>
                <w:sz w:val="24"/>
              </w:rPr>
              <w:t>2</w:t>
            </w:r>
            <w:r>
              <w:rPr>
                <w:rFonts w:ascii="宋体" w:hAnsi="宋体" w:cs="仿宋"/>
                <w:bCs/>
                <w:sz w:val="24"/>
              </w:rPr>
              <w:t>.</w:t>
            </w:r>
            <w:r>
              <w:rPr>
                <w:rFonts w:hint="eastAsia" w:ascii="宋体" w:hAnsi="宋体" w:cs="仿宋"/>
                <w:bCs/>
                <w:sz w:val="24"/>
              </w:rPr>
              <w:t>信息接收</w:t>
            </w:r>
          </w:p>
        </w:tc>
        <w:tc>
          <w:tcPr>
            <w:tcW w:w="1605" w:type="pct"/>
            <w:shd w:val="clear" w:color="auto" w:fill="auto"/>
            <w:vAlign w:val="center"/>
          </w:tcPr>
          <w:p>
            <w:pPr>
              <w:spacing w:line="276" w:lineRule="auto"/>
              <w:ind w:right="63"/>
              <w:rPr>
                <w:rFonts w:ascii="宋体" w:hAnsi="宋体" w:cs="仿宋"/>
                <w:bCs/>
                <w:sz w:val="24"/>
              </w:rPr>
            </w:pPr>
            <w:r>
              <w:rPr>
                <w:rFonts w:hint="eastAsia" w:ascii="宋体" w:hAnsi="宋体" w:cs="仿宋"/>
                <w:bCs/>
                <w:sz w:val="24"/>
              </w:rPr>
              <w:t>2</w:t>
            </w:r>
            <w:r>
              <w:rPr>
                <w:rFonts w:ascii="宋体" w:hAnsi="宋体" w:cs="仿宋"/>
                <w:bCs/>
                <w:sz w:val="24"/>
              </w:rPr>
              <w:t>.1</w:t>
            </w:r>
            <w:r>
              <w:rPr>
                <w:rFonts w:hint="eastAsia" w:ascii="宋体" w:hAnsi="宋体" w:cs="仿宋"/>
                <w:bCs/>
                <w:sz w:val="24"/>
              </w:rPr>
              <w:t>报告接收</w:t>
            </w:r>
          </w:p>
        </w:tc>
        <w:tc>
          <w:tcPr>
            <w:tcW w:w="2468" w:type="pct"/>
            <w:shd w:val="clear" w:color="auto" w:fill="auto"/>
            <w:vAlign w:val="center"/>
          </w:tcPr>
          <w:p>
            <w:pPr>
              <w:spacing w:line="276" w:lineRule="auto"/>
              <w:ind w:right="63"/>
              <w:rPr>
                <w:rFonts w:ascii="宋体" w:hAnsi="宋体" w:cs="仿宋"/>
                <w:bCs/>
                <w:sz w:val="24"/>
              </w:rPr>
            </w:pPr>
            <w:r>
              <w:rPr>
                <w:rFonts w:hint="eastAsia" w:ascii="宋体" w:hAnsi="宋体" w:cs="仿宋"/>
                <w:bCs/>
                <w:sz w:val="24"/>
              </w:rPr>
              <w:t>接收中心下发的各类报告，包括：月度质量分析报告、年度质量评价报告等，方便实验室查阅和保存。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927" w:type="pct"/>
            <w:vMerge w:val="continue"/>
            <w:shd w:val="clear" w:color="auto" w:fill="auto"/>
            <w:vAlign w:val="center"/>
          </w:tcPr>
          <w:p>
            <w:pPr>
              <w:spacing w:line="276" w:lineRule="auto"/>
              <w:ind w:right="63"/>
              <w:rPr>
                <w:rFonts w:ascii="宋体" w:hAnsi="宋体" w:cs="仿宋"/>
                <w:bCs/>
                <w:sz w:val="24"/>
              </w:rPr>
            </w:pPr>
          </w:p>
        </w:tc>
        <w:tc>
          <w:tcPr>
            <w:tcW w:w="1605" w:type="pct"/>
            <w:shd w:val="clear" w:color="auto" w:fill="auto"/>
            <w:vAlign w:val="center"/>
          </w:tcPr>
          <w:p>
            <w:pPr>
              <w:spacing w:line="276" w:lineRule="auto"/>
              <w:ind w:right="63"/>
              <w:rPr>
                <w:rFonts w:ascii="宋体" w:hAnsi="宋体" w:cs="仿宋"/>
                <w:bCs/>
                <w:sz w:val="24"/>
              </w:rPr>
            </w:pPr>
            <w:r>
              <w:rPr>
                <w:rFonts w:hint="eastAsia" w:ascii="宋体" w:hAnsi="宋体" w:cs="仿宋"/>
                <w:bCs/>
                <w:sz w:val="24"/>
              </w:rPr>
              <w:t>2</w:t>
            </w:r>
            <w:r>
              <w:rPr>
                <w:rFonts w:ascii="宋体" w:hAnsi="宋体" w:cs="仿宋"/>
                <w:bCs/>
                <w:sz w:val="24"/>
              </w:rPr>
              <w:t>.2</w:t>
            </w:r>
            <w:r>
              <w:rPr>
                <w:rFonts w:hint="eastAsia" w:ascii="宋体" w:hAnsi="宋体" w:cs="仿宋"/>
                <w:bCs/>
                <w:sz w:val="24"/>
              </w:rPr>
              <w:t>告警消息接收</w:t>
            </w:r>
          </w:p>
        </w:tc>
        <w:tc>
          <w:tcPr>
            <w:tcW w:w="2468" w:type="pct"/>
            <w:shd w:val="clear" w:color="auto" w:fill="auto"/>
            <w:vAlign w:val="center"/>
          </w:tcPr>
          <w:p>
            <w:pPr>
              <w:spacing w:line="276" w:lineRule="auto"/>
              <w:ind w:right="63"/>
              <w:rPr>
                <w:rFonts w:ascii="宋体" w:hAnsi="宋体" w:cs="仿宋"/>
                <w:bCs/>
                <w:sz w:val="24"/>
              </w:rPr>
            </w:pPr>
            <w:r>
              <w:rPr>
                <w:rFonts w:hint="eastAsia" w:ascii="宋体" w:hAnsi="宋体" w:cs="仿宋"/>
                <w:bCs/>
                <w:sz w:val="24"/>
              </w:rPr>
              <w:t>接收中心发出的各类告警信息，并按要求反馈相关信息。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927" w:type="pct"/>
            <w:vMerge w:val="continue"/>
            <w:shd w:val="clear" w:color="auto" w:fill="auto"/>
            <w:vAlign w:val="center"/>
          </w:tcPr>
          <w:p>
            <w:pPr>
              <w:spacing w:line="276" w:lineRule="auto"/>
              <w:ind w:right="63"/>
              <w:rPr>
                <w:rFonts w:ascii="宋体" w:hAnsi="宋体" w:cs="仿宋"/>
                <w:bCs/>
                <w:sz w:val="24"/>
              </w:rPr>
            </w:pPr>
          </w:p>
        </w:tc>
        <w:tc>
          <w:tcPr>
            <w:tcW w:w="1605" w:type="pct"/>
            <w:shd w:val="clear" w:color="auto" w:fill="auto"/>
            <w:vAlign w:val="center"/>
          </w:tcPr>
          <w:p>
            <w:pPr>
              <w:spacing w:line="276" w:lineRule="auto"/>
              <w:ind w:right="63"/>
              <w:rPr>
                <w:rFonts w:ascii="宋体" w:hAnsi="宋体" w:cs="仿宋"/>
                <w:bCs/>
                <w:sz w:val="24"/>
              </w:rPr>
            </w:pPr>
            <w:r>
              <w:rPr>
                <w:rFonts w:hint="eastAsia" w:ascii="宋体" w:hAnsi="宋体" w:cs="仿宋"/>
                <w:bCs/>
                <w:sz w:val="24"/>
              </w:rPr>
              <w:t>2</w:t>
            </w:r>
            <w:r>
              <w:rPr>
                <w:rFonts w:ascii="宋体" w:hAnsi="宋体" w:cs="仿宋"/>
                <w:bCs/>
                <w:sz w:val="24"/>
              </w:rPr>
              <w:t>.3</w:t>
            </w:r>
            <w:r>
              <w:rPr>
                <w:rFonts w:hint="eastAsia" w:ascii="宋体" w:hAnsi="宋体" w:cs="仿宋"/>
                <w:bCs/>
                <w:sz w:val="24"/>
              </w:rPr>
              <w:t>证书接收</w:t>
            </w:r>
          </w:p>
        </w:tc>
        <w:tc>
          <w:tcPr>
            <w:tcW w:w="2468" w:type="pct"/>
            <w:shd w:val="clear" w:color="auto" w:fill="auto"/>
            <w:vAlign w:val="center"/>
          </w:tcPr>
          <w:p>
            <w:pPr>
              <w:spacing w:line="276" w:lineRule="auto"/>
              <w:ind w:right="63"/>
              <w:rPr>
                <w:rFonts w:ascii="宋体" w:hAnsi="宋体" w:cs="仿宋"/>
                <w:bCs/>
                <w:sz w:val="24"/>
              </w:rPr>
            </w:pPr>
            <w:r>
              <w:rPr>
                <w:rFonts w:hint="eastAsia" w:ascii="宋体" w:hAnsi="宋体" w:cs="仿宋"/>
                <w:bCs/>
                <w:sz w:val="24"/>
              </w:rPr>
              <w:t>接收中心下发的质量评价证书，方便实验室查阅和保存。</w:t>
            </w:r>
          </w:p>
        </w:tc>
      </w:tr>
    </w:tbl>
    <w:p>
      <w:pPr>
        <w:spacing w:line="360" w:lineRule="auto"/>
        <w:rPr>
          <w:rFonts w:ascii="宋体" w:hAnsi="宋体"/>
          <w:sz w:val="24"/>
          <w:szCs w:val="24"/>
        </w:rPr>
      </w:pPr>
    </w:p>
    <w:p>
      <w:pPr>
        <w:pStyle w:val="2"/>
        <w:numPr>
          <w:ilvl w:val="0"/>
          <w:numId w:val="3"/>
        </w:numPr>
        <w:spacing w:before="0" w:after="0"/>
        <w:rPr>
          <w:rFonts w:ascii="宋体" w:hAnsi="宋体"/>
          <w:sz w:val="32"/>
          <w:szCs w:val="32"/>
        </w:rPr>
      </w:pPr>
      <w:r>
        <w:rPr>
          <w:rFonts w:hint="eastAsia" w:ascii="宋体" w:hAnsi="宋体"/>
          <w:sz w:val="32"/>
          <w:szCs w:val="32"/>
        </w:rPr>
        <w:t xml:space="preserve">项目工期 </w:t>
      </w:r>
    </w:p>
    <w:p>
      <w:pPr>
        <w:numPr>
          <w:ilvl w:val="0"/>
          <w:numId w:val="5"/>
        </w:numPr>
        <w:spacing w:line="360" w:lineRule="auto"/>
        <w:ind w:right="63"/>
        <w:rPr>
          <w:rFonts w:ascii="宋体" w:hAnsi="宋体" w:cs="仿宋"/>
          <w:bCs/>
          <w:sz w:val="24"/>
        </w:rPr>
      </w:pPr>
      <w:r>
        <w:rPr>
          <w:rFonts w:hint="eastAsia" w:ascii="宋体" w:hAnsi="宋体" w:cs="仿宋"/>
          <w:bCs/>
          <w:sz w:val="24"/>
        </w:rPr>
        <w:t>自合同签订日起，承建方须与临床检验中心在</w:t>
      </w:r>
      <w:r>
        <w:rPr>
          <w:rFonts w:hint="eastAsia" w:ascii="宋体" w:hAnsi="宋体" w:cs="仿宋"/>
          <w:bCs/>
          <w:sz w:val="24"/>
          <w:u w:val="single"/>
        </w:rPr>
        <w:t>10</w:t>
      </w:r>
      <w:r>
        <w:rPr>
          <w:rFonts w:hint="eastAsia" w:ascii="宋体" w:hAnsi="宋体" w:cs="仿宋"/>
          <w:bCs/>
          <w:sz w:val="24"/>
        </w:rPr>
        <w:t>个工作日内完成《用户需求说明书》的补充、确认或提出意见，并形成最终版本的《需求说明书》。</w:t>
      </w:r>
    </w:p>
    <w:p>
      <w:pPr>
        <w:numPr>
          <w:ilvl w:val="0"/>
          <w:numId w:val="5"/>
        </w:numPr>
        <w:spacing w:line="360" w:lineRule="auto"/>
        <w:ind w:right="63"/>
        <w:rPr>
          <w:rFonts w:ascii="宋体" w:hAnsi="宋体" w:cs="仿宋"/>
          <w:bCs/>
          <w:sz w:val="24"/>
        </w:rPr>
      </w:pPr>
      <w:r>
        <w:rPr>
          <w:rFonts w:hint="eastAsia" w:ascii="宋体" w:hAnsi="宋体" w:cs="仿宋"/>
          <w:bCs/>
          <w:sz w:val="24"/>
        </w:rPr>
        <w:t>承建方须在《需求说明书》确认后的</w:t>
      </w:r>
      <w:r>
        <w:rPr>
          <w:rFonts w:hint="eastAsia" w:ascii="宋体" w:hAnsi="宋体" w:cs="仿宋"/>
          <w:bCs/>
          <w:sz w:val="24"/>
          <w:u w:val="single"/>
          <w:lang w:val="en-US" w:eastAsia="zh-CN"/>
        </w:rPr>
        <w:t>100</w:t>
      </w:r>
      <w:r>
        <w:rPr>
          <w:rFonts w:hint="eastAsia" w:ascii="宋体" w:hAnsi="宋体" w:cs="仿宋"/>
          <w:bCs/>
          <w:sz w:val="24"/>
        </w:rPr>
        <w:t>个工作日内完成系统管理端实施工作，并保证其正常运行。</w:t>
      </w:r>
    </w:p>
    <w:p>
      <w:pPr>
        <w:numPr>
          <w:ilvl w:val="0"/>
          <w:numId w:val="5"/>
        </w:numPr>
        <w:spacing w:line="360" w:lineRule="auto"/>
        <w:ind w:right="63"/>
        <w:rPr>
          <w:rFonts w:ascii="宋体" w:hAnsi="宋体" w:cs="仿宋"/>
          <w:bCs/>
          <w:sz w:val="24"/>
        </w:rPr>
      </w:pPr>
      <w:r>
        <w:rPr>
          <w:rFonts w:hint="eastAsia" w:ascii="宋体" w:hAnsi="宋体" w:cs="仿宋"/>
          <w:bCs/>
          <w:sz w:val="24"/>
        </w:rPr>
        <w:t>完成软件实施，并根据院方提出的新需求进行修改后，系统运行</w:t>
      </w:r>
      <w:r>
        <w:rPr>
          <w:rFonts w:ascii="宋体" w:hAnsi="宋体" w:cs="仿宋"/>
          <w:bCs/>
          <w:sz w:val="24"/>
          <w:u w:val="single"/>
        </w:rPr>
        <w:t>3</w:t>
      </w:r>
      <w:r>
        <w:rPr>
          <w:rFonts w:hint="eastAsia" w:ascii="宋体" w:hAnsi="宋体" w:cs="仿宋"/>
          <w:bCs/>
          <w:sz w:val="24"/>
        </w:rPr>
        <w:t>个月以上无软件故障出现，方可向院方申请验收。</w:t>
      </w:r>
    </w:p>
    <w:p>
      <w:pPr>
        <w:pStyle w:val="2"/>
        <w:numPr>
          <w:ilvl w:val="0"/>
          <w:numId w:val="3"/>
        </w:numPr>
        <w:spacing w:before="0" w:after="0"/>
        <w:rPr>
          <w:rFonts w:ascii="宋体" w:hAnsi="宋体"/>
          <w:color w:val="FF0000"/>
          <w:sz w:val="32"/>
          <w:szCs w:val="32"/>
        </w:rPr>
      </w:pPr>
      <w:r>
        <w:rPr>
          <w:rFonts w:hint="eastAsia" w:ascii="宋体" w:hAnsi="宋体"/>
          <w:sz w:val="32"/>
          <w:szCs w:val="32"/>
        </w:rPr>
        <w:t>集成技术及实施</w:t>
      </w:r>
      <w:r>
        <w:rPr>
          <w:rFonts w:ascii="宋体" w:hAnsi="宋体"/>
          <w:sz w:val="32"/>
          <w:szCs w:val="32"/>
        </w:rPr>
        <w:t>服务要求</w:t>
      </w:r>
    </w:p>
    <w:p>
      <w:pPr>
        <w:spacing w:line="360" w:lineRule="auto"/>
        <w:ind w:right="63" w:firstLine="480" w:firstLineChars="200"/>
        <w:rPr>
          <w:rFonts w:ascii="宋体" w:hAnsi="宋体" w:cs="仿宋"/>
          <w:bCs/>
          <w:sz w:val="24"/>
        </w:rPr>
      </w:pPr>
      <w:r>
        <w:rPr>
          <w:rFonts w:hint="eastAsia" w:ascii="宋体" w:hAnsi="宋体" w:cs="仿宋"/>
          <w:bCs/>
          <w:sz w:val="24"/>
        </w:rPr>
        <w:t>项目实施期内承建商提供专职工程师</w:t>
      </w:r>
      <w:r>
        <w:rPr>
          <w:rFonts w:hint="eastAsia" w:ascii="宋体" w:hAnsi="宋体" w:cs="仿宋"/>
          <w:bCs/>
          <w:sz w:val="24"/>
          <w:u w:val="single"/>
        </w:rPr>
        <w:t>1</w:t>
      </w:r>
      <w:r>
        <w:rPr>
          <w:rFonts w:hint="eastAsia" w:ascii="宋体" w:hAnsi="宋体" w:cs="仿宋"/>
          <w:bCs/>
          <w:sz w:val="24"/>
        </w:rPr>
        <w:t>名驻扎临床检验中心，工作时间与院方工作时间一致，并提供7*24小时响应服务。</w:t>
      </w:r>
    </w:p>
    <w:p>
      <w:pPr>
        <w:spacing w:line="360" w:lineRule="auto"/>
        <w:ind w:right="63" w:firstLine="480" w:firstLineChars="200"/>
        <w:rPr>
          <w:rFonts w:ascii="宋体" w:hAnsi="宋体" w:cs="仿宋"/>
          <w:bCs/>
          <w:sz w:val="24"/>
        </w:rPr>
      </w:pPr>
      <w:r>
        <w:rPr>
          <w:rFonts w:hint="eastAsia" w:ascii="宋体" w:hAnsi="宋体" w:cs="仿宋"/>
          <w:bCs/>
          <w:sz w:val="24"/>
        </w:rPr>
        <w:t>项目承建商需配合临床检验中心组织的安全测评、漏洞扫描、渗透测试等安全检查，并根据检测结果对安全漏洞进行整改。</w:t>
      </w:r>
    </w:p>
    <w:p>
      <w:pPr>
        <w:spacing w:line="360" w:lineRule="auto"/>
        <w:ind w:right="63" w:firstLine="480" w:firstLineChars="200"/>
        <w:rPr>
          <w:rFonts w:ascii="宋体" w:hAnsi="宋体" w:cs="仿宋"/>
          <w:bCs/>
          <w:sz w:val="24"/>
        </w:rPr>
      </w:pPr>
      <w:r>
        <w:rPr>
          <w:rFonts w:hint="eastAsia" w:ascii="宋体" w:hAnsi="宋体" w:cs="仿宋"/>
          <w:bCs/>
          <w:sz w:val="24"/>
        </w:rPr>
        <w:t>项目承建商需根据临床检验中心的详细需求，提交项目系统的实施及培训方案，保证系统按时、正常地投入运行。</w:t>
      </w:r>
    </w:p>
    <w:p>
      <w:pPr>
        <w:spacing w:line="360" w:lineRule="auto"/>
        <w:ind w:right="63" w:firstLine="480" w:firstLineChars="200"/>
        <w:rPr>
          <w:rFonts w:ascii="宋体" w:hAnsi="宋体" w:cs="仿宋"/>
          <w:bCs/>
          <w:sz w:val="24"/>
        </w:rPr>
      </w:pPr>
      <w:r>
        <w:rPr>
          <w:rFonts w:hint="eastAsia" w:ascii="宋体" w:hAnsi="宋体" w:cs="仿宋"/>
          <w:bCs/>
          <w:sz w:val="24"/>
        </w:rPr>
        <w:t>项目承建商应对临床检验中心进行包括应用和维护在内的培训。承建商应提出详细的培训计划，提供培训文档。技术培训的内容必须覆盖产品安装、日常操作和管理维护，以及基本的故障诊断与排错，保证培训效果。</w:t>
      </w:r>
    </w:p>
    <w:p>
      <w:pPr>
        <w:spacing w:line="360" w:lineRule="auto"/>
        <w:ind w:right="63" w:firstLine="480" w:firstLineChars="200"/>
        <w:rPr>
          <w:rFonts w:ascii="宋体" w:hAnsi="宋体" w:cs="仿宋"/>
          <w:bCs/>
          <w:sz w:val="24"/>
        </w:rPr>
      </w:pPr>
      <w:r>
        <w:rPr>
          <w:rFonts w:hint="eastAsia" w:ascii="宋体" w:hAnsi="宋体" w:cs="仿宋"/>
          <w:bCs/>
          <w:sz w:val="24"/>
        </w:rPr>
        <w:t>由项目承建商给出具体的验收计划、测试的内容和方法，经临床检验中心审核通过后，方可进行验收测试。</w:t>
      </w:r>
    </w:p>
    <w:p>
      <w:pPr>
        <w:pStyle w:val="2"/>
        <w:numPr>
          <w:ilvl w:val="0"/>
          <w:numId w:val="3"/>
        </w:numPr>
        <w:spacing w:before="0" w:after="0"/>
        <w:rPr>
          <w:rFonts w:ascii="宋体" w:hAnsi="宋体"/>
          <w:color w:val="FF0000"/>
          <w:sz w:val="32"/>
          <w:szCs w:val="32"/>
        </w:rPr>
      </w:pPr>
      <w:r>
        <w:rPr>
          <w:rFonts w:hint="eastAsia" w:ascii="宋体" w:hAnsi="宋体"/>
          <w:sz w:val="32"/>
          <w:szCs w:val="32"/>
        </w:rPr>
        <w:t>后续维护服务</w:t>
      </w:r>
    </w:p>
    <w:p>
      <w:pPr>
        <w:spacing w:line="360" w:lineRule="auto"/>
        <w:ind w:right="63" w:firstLine="480" w:firstLineChars="200"/>
        <w:rPr>
          <w:rFonts w:ascii="宋体" w:hAnsi="宋体" w:cs="仿宋"/>
          <w:bCs/>
          <w:sz w:val="24"/>
        </w:rPr>
      </w:pPr>
      <w:r>
        <w:rPr>
          <w:rFonts w:hint="eastAsia" w:ascii="宋体" w:hAnsi="宋体" w:cs="仿宋"/>
          <w:bCs/>
          <w:sz w:val="24"/>
        </w:rPr>
        <w:t>软件在系统验收合格之日进入维护期。在维护期内，承建商指定固定的专职技术人员提供7*24小时响应服务，提供技术支持和指导、软件的局部改进完善以及故障情况下的现场问题解决。</w:t>
      </w:r>
    </w:p>
    <w:p>
      <w:pPr>
        <w:spacing w:line="360" w:lineRule="auto"/>
        <w:ind w:right="63" w:firstLine="480" w:firstLineChars="200"/>
        <w:rPr>
          <w:rFonts w:ascii="宋体" w:hAnsi="宋体" w:cs="仿宋"/>
          <w:bCs/>
          <w:sz w:val="24"/>
        </w:rPr>
      </w:pPr>
      <w:r>
        <w:rPr>
          <w:rFonts w:hint="eastAsia" w:ascii="宋体" w:hAnsi="宋体" w:cs="仿宋"/>
          <w:bCs/>
          <w:sz w:val="24"/>
        </w:rPr>
        <w:t>维护合同由双方另行协商签订，服务方报价不超过合同软件部分金额的</w:t>
      </w:r>
      <w:r>
        <w:rPr>
          <w:rFonts w:hint="eastAsia" w:ascii="宋体" w:hAnsi="宋体" w:cs="仿宋"/>
          <w:bCs/>
          <w:sz w:val="24"/>
          <w:lang w:val="en-US" w:eastAsia="zh-CN"/>
        </w:rPr>
        <w:t>8</w:t>
      </w:r>
      <w:r>
        <w:rPr>
          <w:rFonts w:hint="eastAsia" w:ascii="宋体" w:hAnsi="宋体" w:cs="仿宋"/>
          <w:bCs/>
          <w:sz w:val="24"/>
        </w:rPr>
        <w:t>%。</w:t>
      </w:r>
    </w:p>
    <w:p>
      <w:pPr>
        <w:tabs>
          <w:tab w:val="left" w:pos="780"/>
        </w:tabs>
        <w:spacing w:before="156" w:beforeLines="50" w:line="360" w:lineRule="auto"/>
        <w:ind w:firstLine="904" w:firstLineChars="300"/>
        <w:outlineLvl w:val="0"/>
        <w:rPr>
          <w:rFonts w:hint="eastAsia" w:ascii="宋体" w:hAnsi="宋体" w:cs="宋体"/>
          <w:b/>
          <w:color w:val="FF0000"/>
          <w:sz w:val="30"/>
          <w:szCs w:val="30"/>
        </w:rPr>
      </w:pPr>
    </w:p>
    <w:sectPr>
      <w:footerReference r:id="rId3" w:type="default"/>
      <w:pgSz w:w="11906" w:h="16838"/>
      <w:pgMar w:top="1021" w:right="1418" w:bottom="102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left="1441"/>
      <w:jc w:val="center"/>
      <w:rPr>
        <w:caps/>
        <w:color w:val="5B9BD5"/>
      </w:rPr>
    </w:pPr>
    <w:r>
      <w:rPr>
        <w:caps/>
        <w:color w:val="5B9BD5"/>
      </w:rPr>
      <w:fldChar w:fldCharType="begin"/>
    </w:r>
    <w:r>
      <w:rPr>
        <w:caps/>
        <w:color w:val="5B9BD5"/>
      </w:rPr>
      <w:instrText xml:space="preserve">PAGE   \* MERGEFORMAT</w:instrText>
    </w:r>
    <w:r>
      <w:rPr>
        <w:caps/>
        <w:color w:val="5B9BD5"/>
      </w:rPr>
      <w:fldChar w:fldCharType="separate"/>
    </w:r>
    <w:r>
      <w:rPr>
        <w:caps/>
        <w:color w:val="5B9BD5"/>
        <w:lang w:val="zh-CN" w:eastAsia="zh-CN"/>
      </w:rPr>
      <w:t>1</w:t>
    </w:r>
    <w:r>
      <w:rPr>
        <w:caps/>
        <w:color w:val="5B9BD5"/>
      </w:rPr>
      <w:fldChar w:fldCharType="end"/>
    </w:r>
  </w:p>
  <w:p>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140FFE"/>
    <w:multiLevelType w:val="singleLevel"/>
    <w:tmpl w:val="88140FFE"/>
    <w:lvl w:ilvl="0" w:tentative="0">
      <w:start w:val="1"/>
      <w:numFmt w:val="decimal"/>
      <w:suff w:val="space"/>
      <w:lvlText w:val="%1."/>
      <w:lvlJc w:val="left"/>
    </w:lvl>
  </w:abstractNum>
  <w:abstractNum w:abstractNumId="1">
    <w:nsid w:val="29015205"/>
    <w:multiLevelType w:val="multilevel"/>
    <w:tmpl w:val="29015205"/>
    <w:lvl w:ilvl="0" w:tentative="0">
      <w:start w:val="1"/>
      <w:numFmt w:val="decimal"/>
      <w:pStyle w:val="2"/>
      <w:lvlText w:val="%1"/>
      <w:lvlJc w:val="left"/>
      <w:pPr>
        <w:ind w:left="432" w:hanging="432"/>
      </w:pPr>
      <w:rPr>
        <w:rFonts w:hint="eastAsia"/>
      </w:rPr>
    </w:lvl>
    <w:lvl w:ilvl="1" w:tentative="0">
      <w:start w:val="1"/>
      <w:numFmt w:val="decimal"/>
      <w:lvlText w:val="4.%2"/>
      <w:lvlJc w:val="left"/>
      <w:pPr>
        <w:ind w:left="576" w:hanging="576"/>
      </w:pPr>
      <w:rPr>
        <w:rFonts w:hint="eastAsia"/>
      </w:rPr>
    </w:lvl>
    <w:lvl w:ilvl="2" w:tentative="0">
      <w:start w:val="1"/>
      <w:numFmt w:val="decimal"/>
      <w:lvlText w:val="6.2.%3"/>
      <w:lvlJc w:val="left"/>
      <w:pPr>
        <w:ind w:left="720" w:hanging="720"/>
      </w:pPr>
      <w:rPr>
        <w:rFonts w:hint="eastAsia"/>
      </w:rPr>
    </w:lvl>
    <w:lvl w:ilvl="3" w:tentative="0">
      <w:start w:val="1"/>
      <w:numFmt w:val="decimal"/>
      <w:pStyle w:val="5"/>
      <w:lvlText w:val="5.1.1.%4"/>
      <w:lvlJc w:val="left"/>
      <w:pPr>
        <w:ind w:left="864" w:hanging="864"/>
      </w:pPr>
      <w:rPr>
        <w:rFonts w:hint="eastAsia"/>
      </w:rPr>
    </w:lvl>
    <w:lvl w:ilvl="4" w:tentative="0">
      <w:start w:val="1"/>
      <w:numFmt w:val="decimal"/>
      <w:pStyle w:val="6"/>
      <w:lvlText w:val="5.1.1.1.%5"/>
      <w:lvlJc w:val="left"/>
      <w:pPr>
        <w:ind w:left="2142"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abstractNum w:abstractNumId="2">
    <w:nsid w:val="3EBB3C91"/>
    <w:multiLevelType w:val="multilevel"/>
    <w:tmpl w:val="3EBB3C91"/>
    <w:lvl w:ilvl="0" w:tentative="0">
      <w:start w:val="1"/>
      <w:numFmt w:val="decimal"/>
      <w:pStyle w:val="57"/>
      <w:lvlText w:val="%1. "/>
      <w:lvlJc w:val="left"/>
      <w:pPr>
        <w:ind w:left="420" w:hanging="420"/>
      </w:pPr>
      <w:rPr>
        <w:rFonts w:hint="default" w:ascii="Times New Roman" w:hAnsi="Times New Roman" w:eastAsia="宋体"/>
        <w:b/>
        <w:i w:val="0"/>
      </w:rPr>
    </w:lvl>
    <w:lvl w:ilvl="1" w:tentative="0">
      <w:start w:val="1"/>
      <w:numFmt w:val="decimal"/>
      <w:pStyle w:val="50"/>
      <w:isLgl/>
      <w:suff w:val="space"/>
      <w:lvlText w:val="%1.%2 "/>
      <w:lvlJc w:val="left"/>
      <w:pPr>
        <w:ind w:left="3913" w:hanging="794"/>
      </w:pPr>
      <w:rPr>
        <w:rFonts w:hint="eastAsia"/>
      </w:rPr>
    </w:lvl>
    <w:lvl w:ilvl="2" w:tentative="0">
      <w:start w:val="1"/>
      <w:numFmt w:val="decimal"/>
      <w:pStyle w:val="56"/>
      <w:isLgl/>
      <w:suff w:val="space"/>
      <w:lvlText w:val="%1.%2.%3 "/>
      <w:lvlJc w:val="left"/>
      <w:pPr>
        <w:ind w:left="907" w:hanging="907"/>
      </w:pPr>
      <w:rPr>
        <w:rFonts w:hint="eastAsia"/>
      </w:rPr>
    </w:lvl>
    <w:lvl w:ilvl="3" w:tentative="0">
      <w:start w:val="1"/>
      <w:numFmt w:val="decimal"/>
      <w:pStyle w:val="55"/>
      <w:isLgl/>
      <w:suff w:val="space"/>
      <w:lvlText w:val="%1.%2.%3.%4 "/>
      <w:lvlJc w:val="left"/>
      <w:pPr>
        <w:ind w:left="1021" w:hanging="1021"/>
      </w:pPr>
      <w:rPr>
        <w:rFonts w:hint="eastAsia"/>
      </w:rPr>
    </w:lvl>
    <w:lvl w:ilvl="4" w:tentative="0">
      <w:start w:val="1"/>
      <w:numFmt w:val="decimal"/>
      <w:pStyle w:val="60"/>
      <w:isLgl/>
      <w:suff w:val="space"/>
      <w:lvlText w:val="%1.%2.%3.%4.%5 "/>
      <w:lvlJc w:val="left"/>
      <w:pPr>
        <w:ind w:left="1134" w:hanging="1134"/>
      </w:pPr>
      <w:rPr>
        <w:rFonts w:hint="eastAsia"/>
      </w:rPr>
    </w:lvl>
    <w:lvl w:ilvl="5" w:tentative="0">
      <w:start w:val="1"/>
      <w:numFmt w:val="decimal"/>
      <w:pStyle w:val="54"/>
      <w:isLgl/>
      <w:suff w:val="space"/>
      <w:lvlText w:val="%1.%2.%3.%4.%5.%6 "/>
      <w:lvlJc w:val="left"/>
      <w:pPr>
        <w:ind w:left="1247" w:hanging="1247"/>
      </w:pPr>
      <w:rPr>
        <w:rFonts w:hint="eastAsia"/>
      </w:rPr>
    </w:lvl>
    <w:lvl w:ilvl="6" w:tentative="0">
      <w:start w:val="1"/>
      <w:numFmt w:val="decimal"/>
      <w:lvlRestart w:val="1"/>
      <w:pStyle w:val="49"/>
      <w:isLgl/>
      <w:suff w:val="space"/>
      <w:lvlText w:val="图 %1.%7 "/>
      <w:lvlJc w:val="left"/>
      <w:pPr>
        <w:ind w:left="0" w:firstLine="0"/>
      </w:pPr>
      <w:rPr>
        <w:rFonts w:hint="eastAsia"/>
      </w:rPr>
    </w:lvl>
    <w:lvl w:ilvl="7" w:tentative="0">
      <w:start w:val="1"/>
      <w:numFmt w:val="decimal"/>
      <w:lvlRestart w:val="1"/>
      <w:pStyle w:val="59"/>
      <w:isLgl/>
      <w:suff w:val="space"/>
      <w:lvlText w:val="表 %1.%8 "/>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424A4138"/>
    <w:multiLevelType w:val="multilevel"/>
    <w:tmpl w:val="424A4138"/>
    <w:lvl w:ilvl="0" w:tentative="0">
      <w:start w:val="1"/>
      <w:numFmt w:val="chineseCountingThousand"/>
      <w:lvlText w:val="%1."/>
      <w:lvlJc w:val="left"/>
      <w:pPr>
        <w:ind w:left="432" w:hanging="432"/>
      </w:pPr>
      <w:rPr>
        <w:rFonts w:hint="eastAsia"/>
        <w:color w:val="auto"/>
        <w:sz w:val="32"/>
        <w:szCs w:val="32"/>
      </w:rPr>
    </w:lvl>
    <w:lvl w:ilvl="1" w:tentative="0">
      <w:start w:val="1"/>
      <w:numFmt w:val="decimal"/>
      <w:lvlText w:val="%1.%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4">
    <w:nsid w:val="72FB8BA4"/>
    <w:multiLevelType w:val="singleLevel"/>
    <w:tmpl w:val="72FB8BA4"/>
    <w:lvl w:ilvl="0" w:tentative="0">
      <w:start w:val="1"/>
      <w:numFmt w:val="decimal"/>
      <w:suff w:val="nothing"/>
      <w:lvlText w:val="（%1）"/>
      <w:lvlJc w:val="left"/>
      <w:pPr>
        <w:ind w:left="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Y3NWFkNzJiYTU4OGM5OTE2MjhjYzE1Y2Q3OTJkOTMifQ=="/>
  </w:docVars>
  <w:rsids>
    <w:rsidRoot w:val="00303343"/>
    <w:rsid w:val="000051D2"/>
    <w:rsid w:val="000079DD"/>
    <w:rsid w:val="00012DCC"/>
    <w:rsid w:val="00016B63"/>
    <w:rsid w:val="00042DAC"/>
    <w:rsid w:val="0004334E"/>
    <w:rsid w:val="00046B39"/>
    <w:rsid w:val="00054706"/>
    <w:rsid w:val="00066DE7"/>
    <w:rsid w:val="00074EDD"/>
    <w:rsid w:val="000757C1"/>
    <w:rsid w:val="00086AE0"/>
    <w:rsid w:val="0009064D"/>
    <w:rsid w:val="00090A18"/>
    <w:rsid w:val="000B41B7"/>
    <w:rsid w:val="000D5317"/>
    <w:rsid w:val="000E276C"/>
    <w:rsid w:val="00106D68"/>
    <w:rsid w:val="001106CE"/>
    <w:rsid w:val="001107F8"/>
    <w:rsid w:val="001116F6"/>
    <w:rsid w:val="001161EB"/>
    <w:rsid w:val="00121E40"/>
    <w:rsid w:val="0012322D"/>
    <w:rsid w:val="00123CDF"/>
    <w:rsid w:val="00123FCC"/>
    <w:rsid w:val="00135BF9"/>
    <w:rsid w:val="001365DD"/>
    <w:rsid w:val="00136606"/>
    <w:rsid w:val="00140E0C"/>
    <w:rsid w:val="0014437A"/>
    <w:rsid w:val="00153AB3"/>
    <w:rsid w:val="00156B1F"/>
    <w:rsid w:val="00162D29"/>
    <w:rsid w:val="00164878"/>
    <w:rsid w:val="00165091"/>
    <w:rsid w:val="00171903"/>
    <w:rsid w:val="0018200C"/>
    <w:rsid w:val="001833B6"/>
    <w:rsid w:val="00190CD2"/>
    <w:rsid w:val="00194BFE"/>
    <w:rsid w:val="001A22A1"/>
    <w:rsid w:val="001B4850"/>
    <w:rsid w:val="001B7966"/>
    <w:rsid w:val="001B7D79"/>
    <w:rsid w:val="001C23B3"/>
    <w:rsid w:val="001C7BC6"/>
    <w:rsid w:val="001D4A68"/>
    <w:rsid w:val="001D7749"/>
    <w:rsid w:val="001E3B38"/>
    <w:rsid w:val="00200054"/>
    <w:rsid w:val="002000DE"/>
    <w:rsid w:val="00202EFF"/>
    <w:rsid w:val="0020509F"/>
    <w:rsid w:val="00207A96"/>
    <w:rsid w:val="00214A6F"/>
    <w:rsid w:val="00221F1F"/>
    <w:rsid w:val="00223E47"/>
    <w:rsid w:val="00241D77"/>
    <w:rsid w:val="002509F5"/>
    <w:rsid w:val="002535AA"/>
    <w:rsid w:val="00261CBC"/>
    <w:rsid w:val="00265DE7"/>
    <w:rsid w:val="00270260"/>
    <w:rsid w:val="002722CA"/>
    <w:rsid w:val="002834D3"/>
    <w:rsid w:val="002853BF"/>
    <w:rsid w:val="00292528"/>
    <w:rsid w:val="002A01D6"/>
    <w:rsid w:val="002A4778"/>
    <w:rsid w:val="002C53D1"/>
    <w:rsid w:val="002D6BE1"/>
    <w:rsid w:val="002F31F1"/>
    <w:rsid w:val="003024F8"/>
    <w:rsid w:val="00303343"/>
    <w:rsid w:val="00303CAB"/>
    <w:rsid w:val="003042A2"/>
    <w:rsid w:val="00304636"/>
    <w:rsid w:val="00311322"/>
    <w:rsid w:val="00314487"/>
    <w:rsid w:val="00314A5A"/>
    <w:rsid w:val="00322973"/>
    <w:rsid w:val="003325F0"/>
    <w:rsid w:val="00341038"/>
    <w:rsid w:val="00352E7C"/>
    <w:rsid w:val="00353276"/>
    <w:rsid w:val="00360458"/>
    <w:rsid w:val="00366980"/>
    <w:rsid w:val="00370A5D"/>
    <w:rsid w:val="003802E2"/>
    <w:rsid w:val="00385E95"/>
    <w:rsid w:val="00385FED"/>
    <w:rsid w:val="00397B7E"/>
    <w:rsid w:val="003A7269"/>
    <w:rsid w:val="003C0FB7"/>
    <w:rsid w:val="003C6D81"/>
    <w:rsid w:val="003D0F80"/>
    <w:rsid w:val="003D2595"/>
    <w:rsid w:val="003E7083"/>
    <w:rsid w:val="003F3286"/>
    <w:rsid w:val="003F629F"/>
    <w:rsid w:val="00403938"/>
    <w:rsid w:val="00413DA3"/>
    <w:rsid w:val="00414171"/>
    <w:rsid w:val="0041787F"/>
    <w:rsid w:val="00423450"/>
    <w:rsid w:val="0042702D"/>
    <w:rsid w:val="00435C81"/>
    <w:rsid w:val="0044060A"/>
    <w:rsid w:val="00440F72"/>
    <w:rsid w:val="004565AA"/>
    <w:rsid w:val="00456A2C"/>
    <w:rsid w:val="004630DC"/>
    <w:rsid w:val="00474AE0"/>
    <w:rsid w:val="0047796F"/>
    <w:rsid w:val="00482931"/>
    <w:rsid w:val="00495574"/>
    <w:rsid w:val="004A44FF"/>
    <w:rsid w:val="004C2C5B"/>
    <w:rsid w:val="004E2D8F"/>
    <w:rsid w:val="004E5E61"/>
    <w:rsid w:val="004F1410"/>
    <w:rsid w:val="00500264"/>
    <w:rsid w:val="00510B1E"/>
    <w:rsid w:val="005120A9"/>
    <w:rsid w:val="00517D7C"/>
    <w:rsid w:val="00520646"/>
    <w:rsid w:val="0052176F"/>
    <w:rsid w:val="0052604B"/>
    <w:rsid w:val="0053088D"/>
    <w:rsid w:val="00534BF6"/>
    <w:rsid w:val="00537CDE"/>
    <w:rsid w:val="005409FC"/>
    <w:rsid w:val="005563D3"/>
    <w:rsid w:val="00575F76"/>
    <w:rsid w:val="005766CE"/>
    <w:rsid w:val="00580F0E"/>
    <w:rsid w:val="00591388"/>
    <w:rsid w:val="0059358B"/>
    <w:rsid w:val="005944F9"/>
    <w:rsid w:val="00596428"/>
    <w:rsid w:val="00596CC5"/>
    <w:rsid w:val="005A4D1C"/>
    <w:rsid w:val="005B046D"/>
    <w:rsid w:val="005B33AE"/>
    <w:rsid w:val="005C49D7"/>
    <w:rsid w:val="005C60FB"/>
    <w:rsid w:val="005C7EF5"/>
    <w:rsid w:val="005D1C7F"/>
    <w:rsid w:val="005D2402"/>
    <w:rsid w:val="005D2BF6"/>
    <w:rsid w:val="005D3A60"/>
    <w:rsid w:val="005E7C53"/>
    <w:rsid w:val="005F0356"/>
    <w:rsid w:val="005F73BC"/>
    <w:rsid w:val="00600923"/>
    <w:rsid w:val="006053FC"/>
    <w:rsid w:val="00612F3F"/>
    <w:rsid w:val="00620E68"/>
    <w:rsid w:val="00623637"/>
    <w:rsid w:val="006279C6"/>
    <w:rsid w:val="00644F1D"/>
    <w:rsid w:val="00646B59"/>
    <w:rsid w:val="006604C2"/>
    <w:rsid w:val="006861F5"/>
    <w:rsid w:val="00697FBB"/>
    <w:rsid w:val="006B2085"/>
    <w:rsid w:val="006B21B8"/>
    <w:rsid w:val="006B7B58"/>
    <w:rsid w:val="006C36EB"/>
    <w:rsid w:val="006D4B15"/>
    <w:rsid w:val="006D59F7"/>
    <w:rsid w:val="006E5E07"/>
    <w:rsid w:val="006F0434"/>
    <w:rsid w:val="00701D12"/>
    <w:rsid w:val="0070239F"/>
    <w:rsid w:val="0072309C"/>
    <w:rsid w:val="0072695B"/>
    <w:rsid w:val="0074224C"/>
    <w:rsid w:val="00750A70"/>
    <w:rsid w:val="00752912"/>
    <w:rsid w:val="007556BE"/>
    <w:rsid w:val="007621CC"/>
    <w:rsid w:val="0076668A"/>
    <w:rsid w:val="00784C08"/>
    <w:rsid w:val="00785EDF"/>
    <w:rsid w:val="00786A29"/>
    <w:rsid w:val="00795F59"/>
    <w:rsid w:val="007C0A5B"/>
    <w:rsid w:val="007D22AB"/>
    <w:rsid w:val="007E71E6"/>
    <w:rsid w:val="007F5726"/>
    <w:rsid w:val="008168FB"/>
    <w:rsid w:val="00822BA6"/>
    <w:rsid w:val="008419E9"/>
    <w:rsid w:val="008548FB"/>
    <w:rsid w:val="008623FD"/>
    <w:rsid w:val="00866774"/>
    <w:rsid w:val="00873B97"/>
    <w:rsid w:val="008A62AC"/>
    <w:rsid w:val="008B2206"/>
    <w:rsid w:val="008C255D"/>
    <w:rsid w:val="008D3291"/>
    <w:rsid w:val="008D59AA"/>
    <w:rsid w:val="008E145D"/>
    <w:rsid w:val="008E2B56"/>
    <w:rsid w:val="008E69C8"/>
    <w:rsid w:val="00900232"/>
    <w:rsid w:val="00900BAA"/>
    <w:rsid w:val="00903734"/>
    <w:rsid w:val="00903878"/>
    <w:rsid w:val="00903CF6"/>
    <w:rsid w:val="009052C7"/>
    <w:rsid w:val="00905FFA"/>
    <w:rsid w:val="0092017A"/>
    <w:rsid w:val="00922032"/>
    <w:rsid w:val="00925C23"/>
    <w:rsid w:val="00927E08"/>
    <w:rsid w:val="009303FA"/>
    <w:rsid w:val="00941F0C"/>
    <w:rsid w:val="00943004"/>
    <w:rsid w:val="00966A88"/>
    <w:rsid w:val="00973A47"/>
    <w:rsid w:val="00981ED8"/>
    <w:rsid w:val="009822C7"/>
    <w:rsid w:val="00982AA3"/>
    <w:rsid w:val="009863EF"/>
    <w:rsid w:val="00986A41"/>
    <w:rsid w:val="0098719A"/>
    <w:rsid w:val="00991FF2"/>
    <w:rsid w:val="0099315B"/>
    <w:rsid w:val="00995DD9"/>
    <w:rsid w:val="009B4476"/>
    <w:rsid w:val="009C1F02"/>
    <w:rsid w:val="009C3783"/>
    <w:rsid w:val="009C4E7E"/>
    <w:rsid w:val="009D6951"/>
    <w:rsid w:val="009D7DD1"/>
    <w:rsid w:val="009E0351"/>
    <w:rsid w:val="009E214B"/>
    <w:rsid w:val="009E53AF"/>
    <w:rsid w:val="009F0270"/>
    <w:rsid w:val="009F61FA"/>
    <w:rsid w:val="00A05796"/>
    <w:rsid w:val="00A13CB0"/>
    <w:rsid w:val="00A14FD8"/>
    <w:rsid w:val="00A22CA1"/>
    <w:rsid w:val="00A4595D"/>
    <w:rsid w:val="00A51146"/>
    <w:rsid w:val="00A61D3A"/>
    <w:rsid w:val="00A66833"/>
    <w:rsid w:val="00A70DCF"/>
    <w:rsid w:val="00A72437"/>
    <w:rsid w:val="00A73FDF"/>
    <w:rsid w:val="00A824B9"/>
    <w:rsid w:val="00A870DD"/>
    <w:rsid w:val="00A96157"/>
    <w:rsid w:val="00A969AF"/>
    <w:rsid w:val="00A9729E"/>
    <w:rsid w:val="00AA1F69"/>
    <w:rsid w:val="00AB348F"/>
    <w:rsid w:val="00AB7D36"/>
    <w:rsid w:val="00AC1390"/>
    <w:rsid w:val="00AC4663"/>
    <w:rsid w:val="00AE1DD2"/>
    <w:rsid w:val="00AE4106"/>
    <w:rsid w:val="00B12138"/>
    <w:rsid w:val="00B17749"/>
    <w:rsid w:val="00B17AE9"/>
    <w:rsid w:val="00B17C05"/>
    <w:rsid w:val="00B20334"/>
    <w:rsid w:val="00B20819"/>
    <w:rsid w:val="00B225B9"/>
    <w:rsid w:val="00B24AB1"/>
    <w:rsid w:val="00B36BD9"/>
    <w:rsid w:val="00B41A4C"/>
    <w:rsid w:val="00B43095"/>
    <w:rsid w:val="00B446CA"/>
    <w:rsid w:val="00B5093C"/>
    <w:rsid w:val="00B54356"/>
    <w:rsid w:val="00B55FE5"/>
    <w:rsid w:val="00B62917"/>
    <w:rsid w:val="00B74609"/>
    <w:rsid w:val="00B752B2"/>
    <w:rsid w:val="00B80E39"/>
    <w:rsid w:val="00B824A5"/>
    <w:rsid w:val="00B8588F"/>
    <w:rsid w:val="00B858F1"/>
    <w:rsid w:val="00B8684C"/>
    <w:rsid w:val="00BA5A2D"/>
    <w:rsid w:val="00BA5B8F"/>
    <w:rsid w:val="00BB2B54"/>
    <w:rsid w:val="00BC3CA1"/>
    <w:rsid w:val="00BC49E5"/>
    <w:rsid w:val="00BC6DB1"/>
    <w:rsid w:val="00BD3194"/>
    <w:rsid w:val="00BD5FA8"/>
    <w:rsid w:val="00BE23E5"/>
    <w:rsid w:val="00BE31E6"/>
    <w:rsid w:val="00BF757E"/>
    <w:rsid w:val="00BF7C0E"/>
    <w:rsid w:val="00BF7F5A"/>
    <w:rsid w:val="00C17719"/>
    <w:rsid w:val="00C20730"/>
    <w:rsid w:val="00C2470A"/>
    <w:rsid w:val="00C335D8"/>
    <w:rsid w:val="00C50E12"/>
    <w:rsid w:val="00C54491"/>
    <w:rsid w:val="00C71B43"/>
    <w:rsid w:val="00C74D8F"/>
    <w:rsid w:val="00C751A9"/>
    <w:rsid w:val="00C766DD"/>
    <w:rsid w:val="00C76BDF"/>
    <w:rsid w:val="00C775CE"/>
    <w:rsid w:val="00C8030E"/>
    <w:rsid w:val="00C91697"/>
    <w:rsid w:val="00C92EAA"/>
    <w:rsid w:val="00CA148F"/>
    <w:rsid w:val="00CA29F9"/>
    <w:rsid w:val="00CB6B73"/>
    <w:rsid w:val="00CC218D"/>
    <w:rsid w:val="00CC6334"/>
    <w:rsid w:val="00CC677A"/>
    <w:rsid w:val="00CD008E"/>
    <w:rsid w:val="00CD49B4"/>
    <w:rsid w:val="00CD6EDC"/>
    <w:rsid w:val="00CE2D1F"/>
    <w:rsid w:val="00CF1561"/>
    <w:rsid w:val="00CF1A40"/>
    <w:rsid w:val="00CF36EF"/>
    <w:rsid w:val="00CF4AE2"/>
    <w:rsid w:val="00D1110F"/>
    <w:rsid w:val="00D15B10"/>
    <w:rsid w:val="00D23E20"/>
    <w:rsid w:val="00D30FA6"/>
    <w:rsid w:val="00D32842"/>
    <w:rsid w:val="00D407EB"/>
    <w:rsid w:val="00D454AB"/>
    <w:rsid w:val="00D536AB"/>
    <w:rsid w:val="00D54E0C"/>
    <w:rsid w:val="00D5537A"/>
    <w:rsid w:val="00D71136"/>
    <w:rsid w:val="00D77F36"/>
    <w:rsid w:val="00D9057D"/>
    <w:rsid w:val="00DA026E"/>
    <w:rsid w:val="00DA576E"/>
    <w:rsid w:val="00DB0A86"/>
    <w:rsid w:val="00DB57B7"/>
    <w:rsid w:val="00DC33CF"/>
    <w:rsid w:val="00DC3415"/>
    <w:rsid w:val="00DD3DE6"/>
    <w:rsid w:val="00DE4534"/>
    <w:rsid w:val="00DF3D3A"/>
    <w:rsid w:val="00DF4228"/>
    <w:rsid w:val="00E06670"/>
    <w:rsid w:val="00E17266"/>
    <w:rsid w:val="00E47752"/>
    <w:rsid w:val="00E53030"/>
    <w:rsid w:val="00E56652"/>
    <w:rsid w:val="00E62C9E"/>
    <w:rsid w:val="00E63369"/>
    <w:rsid w:val="00E63569"/>
    <w:rsid w:val="00E80756"/>
    <w:rsid w:val="00E81F96"/>
    <w:rsid w:val="00E8302B"/>
    <w:rsid w:val="00E83E34"/>
    <w:rsid w:val="00E847A3"/>
    <w:rsid w:val="00E84F8C"/>
    <w:rsid w:val="00E85360"/>
    <w:rsid w:val="00E85641"/>
    <w:rsid w:val="00E85DA4"/>
    <w:rsid w:val="00E86B42"/>
    <w:rsid w:val="00E95892"/>
    <w:rsid w:val="00E97354"/>
    <w:rsid w:val="00EA6408"/>
    <w:rsid w:val="00EC0483"/>
    <w:rsid w:val="00EC33A4"/>
    <w:rsid w:val="00ED0897"/>
    <w:rsid w:val="00ED73FF"/>
    <w:rsid w:val="00ED7F01"/>
    <w:rsid w:val="00EE4612"/>
    <w:rsid w:val="00EE51DE"/>
    <w:rsid w:val="00EE609F"/>
    <w:rsid w:val="00EF5E01"/>
    <w:rsid w:val="00EF6EC0"/>
    <w:rsid w:val="00F02058"/>
    <w:rsid w:val="00F0343C"/>
    <w:rsid w:val="00F04CE5"/>
    <w:rsid w:val="00F13514"/>
    <w:rsid w:val="00F1360F"/>
    <w:rsid w:val="00F16AA8"/>
    <w:rsid w:val="00F21791"/>
    <w:rsid w:val="00F3226A"/>
    <w:rsid w:val="00F33DB0"/>
    <w:rsid w:val="00F45DB8"/>
    <w:rsid w:val="00F54D29"/>
    <w:rsid w:val="00F62BCD"/>
    <w:rsid w:val="00F74B77"/>
    <w:rsid w:val="00F764FE"/>
    <w:rsid w:val="00F80625"/>
    <w:rsid w:val="00F827B6"/>
    <w:rsid w:val="00F92BE5"/>
    <w:rsid w:val="00FA0574"/>
    <w:rsid w:val="00FB68D3"/>
    <w:rsid w:val="00FC4B75"/>
    <w:rsid w:val="00FE7554"/>
    <w:rsid w:val="00FF17FE"/>
    <w:rsid w:val="42200080"/>
    <w:rsid w:val="434C4C1F"/>
    <w:rsid w:val="488C513A"/>
    <w:rsid w:val="49F02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0"/>
    <w:pPr>
      <w:keepNext/>
      <w:keepLines/>
      <w:numPr>
        <w:ilvl w:val="0"/>
        <w:numId w:val="1"/>
      </w:numPr>
      <w:spacing w:before="340" w:after="330" w:line="578" w:lineRule="auto"/>
      <w:outlineLvl w:val="0"/>
    </w:pPr>
    <w:rPr>
      <w:b/>
      <w:bCs/>
      <w:kern w:val="44"/>
      <w:sz w:val="44"/>
      <w:szCs w:val="44"/>
      <w:lang w:val="zh-CN" w:eastAsia="zh-CN"/>
    </w:rPr>
  </w:style>
  <w:style w:type="paragraph" w:styleId="3">
    <w:name w:val="heading 2"/>
    <w:basedOn w:val="1"/>
    <w:next w:val="1"/>
    <w:link w:val="25"/>
    <w:qFormat/>
    <w:uiPriority w:val="0"/>
    <w:pPr>
      <w:keepNext/>
      <w:keepLines/>
      <w:spacing w:before="260" w:after="260" w:line="416" w:lineRule="auto"/>
      <w:outlineLvl w:val="1"/>
    </w:pPr>
    <w:rPr>
      <w:rFonts w:ascii="等线 Light" w:hAnsi="等线 Light" w:eastAsia="等线 Light"/>
      <w:b/>
      <w:bCs/>
      <w:sz w:val="32"/>
      <w:szCs w:val="32"/>
      <w:lang w:val="zh-CN" w:eastAsia="zh-CN"/>
    </w:rPr>
  </w:style>
  <w:style w:type="paragraph" w:styleId="4">
    <w:name w:val="heading 3"/>
    <w:basedOn w:val="1"/>
    <w:next w:val="1"/>
    <w:link w:val="26"/>
    <w:qFormat/>
    <w:uiPriority w:val="0"/>
    <w:pPr>
      <w:keepNext/>
      <w:keepLines/>
      <w:spacing w:before="260" w:after="260" w:line="416" w:lineRule="auto"/>
      <w:outlineLvl w:val="2"/>
    </w:pPr>
    <w:rPr>
      <w:b/>
      <w:bCs/>
      <w:sz w:val="30"/>
      <w:szCs w:val="30"/>
      <w:lang w:val="zh-CN" w:eastAsia="zh-CN"/>
    </w:rPr>
  </w:style>
  <w:style w:type="paragraph" w:styleId="5">
    <w:name w:val="heading 4"/>
    <w:basedOn w:val="1"/>
    <w:next w:val="1"/>
    <w:link w:val="27"/>
    <w:qFormat/>
    <w:uiPriority w:val="0"/>
    <w:pPr>
      <w:keepNext/>
      <w:keepLines/>
      <w:numPr>
        <w:ilvl w:val="3"/>
        <w:numId w:val="1"/>
      </w:numPr>
      <w:spacing w:before="280" w:after="290" w:line="376" w:lineRule="auto"/>
      <w:outlineLvl w:val="3"/>
    </w:pPr>
    <w:rPr>
      <w:rFonts w:ascii="宋体" w:hAnsi="宋体"/>
      <w:b/>
      <w:bCs/>
      <w:sz w:val="28"/>
      <w:szCs w:val="28"/>
      <w:lang w:val="zh-CN" w:eastAsia="zh-CN"/>
    </w:rPr>
  </w:style>
  <w:style w:type="paragraph" w:styleId="6">
    <w:name w:val="heading 5"/>
    <w:basedOn w:val="1"/>
    <w:next w:val="1"/>
    <w:link w:val="28"/>
    <w:qFormat/>
    <w:uiPriority w:val="0"/>
    <w:pPr>
      <w:keepNext/>
      <w:keepLines/>
      <w:numPr>
        <w:ilvl w:val="4"/>
        <w:numId w:val="1"/>
      </w:numPr>
      <w:spacing w:before="280" w:after="290" w:line="376" w:lineRule="auto"/>
      <w:outlineLvl w:val="4"/>
    </w:pPr>
    <w:rPr>
      <w:b/>
      <w:bCs/>
      <w:sz w:val="28"/>
      <w:szCs w:val="28"/>
      <w:lang w:val="zh-CN" w:eastAsia="zh-CN"/>
    </w:rPr>
  </w:style>
  <w:style w:type="paragraph" w:styleId="7">
    <w:name w:val="heading 6"/>
    <w:basedOn w:val="1"/>
    <w:next w:val="1"/>
    <w:link w:val="29"/>
    <w:qFormat/>
    <w:uiPriority w:val="0"/>
    <w:pPr>
      <w:keepNext/>
      <w:keepLines/>
      <w:numPr>
        <w:ilvl w:val="5"/>
        <w:numId w:val="1"/>
      </w:numPr>
      <w:spacing w:before="240" w:after="64" w:line="320" w:lineRule="auto"/>
      <w:outlineLvl w:val="5"/>
    </w:pPr>
    <w:rPr>
      <w:rFonts w:ascii="等线 Light" w:hAnsi="等线 Light" w:eastAsia="等线 Light"/>
      <w:b/>
      <w:bCs/>
      <w:sz w:val="24"/>
      <w:lang w:val="zh-CN" w:eastAsia="zh-CN"/>
    </w:rPr>
  </w:style>
  <w:style w:type="paragraph" w:styleId="8">
    <w:name w:val="heading 7"/>
    <w:basedOn w:val="1"/>
    <w:next w:val="1"/>
    <w:link w:val="30"/>
    <w:qFormat/>
    <w:uiPriority w:val="0"/>
    <w:pPr>
      <w:keepNext/>
      <w:keepLines/>
      <w:numPr>
        <w:ilvl w:val="6"/>
        <w:numId w:val="1"/>
      </w:numPr>
      <w:spacing w:before="240" w:after="64" w:line="320" w:lineRule="auto"/>
      <w:outlineLvl w:val="6"/>
    </w:pPr>
    <w:rPr>
      <w:b/>
      <w:bCs/>
      <w:sz w:val="24"/>
      <w:lang w:val="zh-CN" w:eastAsia="zh-CN"/>
    </w:rPr>
  </w:style>
  <w:style w:type="paragraph" w:styleId="9">
    <w:name w:val="heading 8"/>
    <w:basedOn w:val="1"/>
    <w:next w:val="1"/>
    <w:link w:val="31"/>
    <w:qFormat/>
    <w:uiPriority w:val="0"/>
    <w:pPr>
      <w:keepNext/>
      <w:keepLines/>
      <w:numPr>
        <w:ilvl w:val="7"/>
        <w:numId w:val="1"/>
      </w:numPr>
      <w:spacing w:before="240" w:after="64" w:line="320" w:lineRule="auto"/>
      <w:outlineLvl w:val="7"/>
    </w:pPr>
    <w:rPr>
      <w:rFonts w:ascii="等线 Light" w:hAnsi="等线 Light" w:eastAsia="等线 Light"/>
      <w:sz w:val="24"/>
      <w:lang w:val="zh-CN" w:eastAsia="zh-CN"/>
    </w:rPr>
  </w:style>
  <w:style w:type="paragraph" w:styleId="10">
    <w:name w:val="heading 9"/>
    <w:basedOn w:val="1"/>
    <w:next w:val="1"/>
    <w:link w:val="32"/>
    <w:qFormat/>
    <w:uiPriority w:val="0"/>
    <w:pPr>
      <w:keepNext/>
      <w:keepLines/>
      <w:numPr>
        <w:ilvl w:val="8"/>
        <w:numId w:val="1"/>
      </w:numPr>
      <w:spacing w:before="240" w:after="64" w:line="320" w:lineRule="auto"/>
      <w:outlineLvl w:val="8"/>
    </w:pPr>
    <w:rPr>
      <w:rFonts w:ascii="等线 Light" w:hAnsi="等线 Light" w:eastAsia="等线 Light"/>
      <w:szCs w:val="21"/>
      <w:lang w:val="zh-CN" w:eastAsia="zh-CN"/>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11">
    <w:name w:val="Normal Indent"/>
    <w:basedOn w:val="1"/>
    <w:link w:val="33"/>
    <w:qFormat/>
    <w:uiPriority w:val="99"/>
    <w:pPr>
      <w:spacing w:before="120" w:beforeLines="50" w:line="360" w:lineRule="auto"/>
      <w:ind w:firstLine="512" w:firstLineChars="200"/>
    </w:pPr>
    <w:rPr>
      <w:spacing w:val="8"/>
      <w:sz w:val="24"/>
      <w:szCs w:val="20"/>
      <w:lang w:val="en-US" w:eastAsia="zh-CN"/>
    </w:rPr>
  </w:style>
  <w:style w:type="paragraph" w:styleId="12">
    <w:name w:val="annotation text"/>
    <w:basedOn w:val="1"/>
    <w:link w:val="34"/>
    <w:unhideWhenUsed/>
    <w:qFormat/>
    <w:uiPriority w:val="0"/>
    <w:pPr>
      <w:jc w:val="left"/>
    </w:pPr>
    <w:rPr>
      <w:kern w:val="0"/>
      <w:sz w:val="20"/>
      <w:lang w:val="zh-CN" w:eastAsia="zh-CN"/>
    </w:rPr>
  </w:style>
  <w:style w:type="paragraph" w:styleId="13">
    <w:name w:val="Plain Text"/>
    <w:basedOn w:val="1"/>
    <w:link w:val="35"/>
    <w:qFormat/>
    <w:uiPriority w:val="0"/>
    <w:rPr>
      <w:rFonts w:ascii="Calibri" w:hAnsi="Courier New"/>
      <w:szCs w:val="20"/>
      <w:lang w:val="zh-CN" w:eastAsia="zh-CN"/>
    </w:rPr>
  </w:style>
  <w:style w:type="paragraph" w:styleId="14">
    <w:name w:val="Balloon Text"/>
    <w:basedOn w:val="1"/>
    <w:link w:val="36"/>
    <w:qFormat/>
    <w:uiPriority w:val="0"/>
    <w:rPr>
      <w:sz w:val="18"/>
      <w:szCs w:val="18"/>
      <w:lang w:val="zh-CN" w:eastAsia="zh-CN"/>
    </w:rPr>
  </w:style>
  <w:style w:type="paragraph" w:styleId="15">
    <w:name w:val="footer"/>
    <w:basedOn w:val="1"/>
    <w:link w:val="37"/>
    <w:qFormat/>
    <w:uiPriority w:val="0"/>
    <w:pPr>
      <w:tabs>
        <w:tab w:val="center" w:pos="4153"/>
        <w:tab w:val="right" w:pos="8306"/>
      </w:tabs>
      <w:snapToGrid w:val="0"/>
      <w:jc w:val="left"/>
    </w:pPr>
    <w:rPr>
      <w:sz w:val="18"/>
      <w:szCs w:val="18"/>
      <w:lang w:val="zh-CN" w:eastAsia="zh-CN"/>
    </w:rPr>
  </w:style>
  <w:style w:type="paragraph" w:styleId="16">
    <w:name w:val="header"/>
    <w:basedOn w:val="1"/>
    <w:link w:val="38"/>
    <w:qFormat/>
    <w:uiPriority w:val="0"/>
    <w:pPr>
      <w:pBdr>
        <w:bottom w:val="single" w:color="auto" w:sz="6" w:space="1"/>
      </w:pBdr>
      <w:tabs>
        <w:tab w:val="center" w:pos="4153"/>
        <w:tab w:val="right" w:pos="8306"/>
      </w:tabs>
      <w:snapToGrid w:val="0"/>
      <w:jc w:val="center"/>
    </w:pPr>
    <w:rPr>
      <w:sz w:val="18"/>
      <w:szCs w:val="18"/>
      <w:lang w:val="zh-CN" w:eastAsia="zh-CN"/>
    </w:rPr>
  </w:style>
  <w:style w:type="paragraph" w:styleId="17">
    <w:name w:val="Subtitle"/>
    <w:basedOn w:val="1"/>
    <w:next w:val="1"/>
    <w:link w:val="63"/>
    <w:qFormat/>
    <w:uiPriority w:val="0"/>
    <w:pPr>
      <w:spacing w:before="240" w:beforeLines="50" w:after="60" w:line="312" w:lineRule="auto"/>
      <w:ind w:firstLine="200" w:firstLineChars="200"/>
      <w:jc w:val="center"/>
      <w:outlineLvl w:val="1"/>
    </w:pPr>
    <w:rPr>
      <w:rFonts w:ascii="Cambria" w:hAnsi="Cambria"/>
      <w:b/>
      <w:bCs/>
      <w:kern w:val="28"/>
      <w:sz w:val="32"/>
      <w:szCs w:val="32"/>
      <w:lang w:eastAsia="en-US"/>
    </w:rPr>
  </w:style>
  <w:style w:type="paragraph" w:styleId="1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20">
    <w:name w:val="Table Grid"/>
    <w:basedOn w:val="1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2">
    <w:name w:val="Hyperlink"/>
    <w:qFormat/>
    <w:uiPriority w:val="0"/>
    <w:rPr>
      <w:color w:val="0563C1"/>
      <w:u w:val="single"/>
    </w:rPr>
  </w:style>
  <w:style w:type="character" w:styleId="23">
    <w:name w:val="annotation reference"/>
    <w:unhideWhenUsed/>
    <w:qFormat/>
    <w:uiPriority w:val="99"/>
    <w:rPr>
      <w:sz w:val="21"/>
      <w:szCs w:val="21"/>
    </w:rPr>
  </w:style>
  <w:style w:type="character" w:customStyle="1" w:styleId="24">
    <w:name w:val="标题 1 Char"/>
    <w:link w:val="2"/>
    <w:qFormat/>
    <w:uiPriority w:val="0"/>
    <w:rPr>
      <w:b/>
      <w:bCs/>
      <w:kern w:val="44"/>
      <w:sz w:val="44"/>
      <w:szCs w:val="44"/>
      <w:lang w:val="zh-CN" w:eastAsia="zh-CN"/>
    </w:rPr>
  </w:style>
  <w:style w:type="character" w:customStyle="1" w:styleId="25">
    <w:name w:val="标题 2 Char"/>
    <w:link w:val="3"/>
    <w:uiPriority w:val="0"/>
    <w:rPr>
      <w:rFonts w:ascii="等线 Light" w:hAnsi="等线 Light" w:eastAsia="等线 Light" w:cs="Times New Roman"/>
      <w:b/>
      <w:bCs/>
      <w:kern w:val="2"/>
      <w:sz w:val="32"/>
      <w:szCs w:val="32"/>
    </w:rPr>
  </w:style>
  <w:style w:type="character" w:customStyle="1" w:styleId="26">
    <w:name w:val="标题 3 Char"/>
    <w:link w:val="4"/>
    <w:uiPriority w:val="0"/>
    <w:rPr>
      <w:b/>
      <w:bCs/>
      <w:kern w:val="2"/>
      <w:sz w:val="30"/>
      <w:szCs w:val="30"/>
    </w:rPr>
  </w:style>
  <w:style w:type="character" w:customStyle="1" w:styleId="27">
    <w:name w:val="标题 4 Char"/>
    <w:link w:val="5"/>
    <w:uiPriority w:val="0"/>
    <w:rPr>
      <w:rFonts w:ascii="宋体" w:hAnsi="宋体"/>
      <w:b/>
      <w:bCs/>
      <w:kern w:val="2"/>
      <w:sz w:val="28"/>
      <w:szCs w:val="28"/>
    </w:rPr>
  </w:style>
  <w:style w:type="character" w:customStyle="1" w:styleId="28">
    <w:name w:val="标题 5 Char"/>
    <w:link w:val="6"/>
    <w:uiPriority w:val="0"/>
    <w:rPr>
      <w:b/>
      <w:bCs/>
      <w:kern w:val="2"/>
      <w:sz w:val="28"/>
      <w:szCs w:val="28"/>
    </w:rPr>
  </w:style>
  <w:style w:type="character" w:customStyle="1" w:styleId="29">
    <w:name w:val="标题 6 Char"/>
    <w:link w:val="7"/>
    <w:semiHidden/>
    <w:qFormat/>
    <w:uiPriority w:val="0"/>
    <w:rPr>
      <w:rFonts w:ascii="等线 Light" w:hAnsi="等线 Light" w:eastAsia="等线 Light"/>
      <w:b/>
      <w:bCs/>
      <w:kern w:val="2"/>
      <w:sz w:val="24"/>
      <w:szCs w:val="24"/>
    </w:rPr>
  </w:style>
  <w:style w:type="character" w:customStyle="1" w:styleId="30">
    <w:name w:val="标题 7 Char"/>
    <w:link w:val="8"/>
    <w:semiHidden/>
    <w:qFormat/>
    <w:uiPriority w:val="0"/>
    <w:rPr>
      <w:b/>
      <w:bCs/>
      <w:kern w:val="2"/>
      <w:sz w:val="24"/>
      <w:szCs w:val="24"/>
    </w:rPr>
  </w:style>
  <w:style w:type="character" w:customStyle="1" w:styleId="31">
    <w:name w:val="标题 8 Char"/>
    <w:link w:val="9"/>
    <w:semiHidden/>
    <w:qFormat/>
    <w:uiPriority w:val="0"/>
    <w:rPr>
      <w:rFonts w:ascii="等线 Light" w:hAnsi="等线 Light" w:eastAsia="等线 Light"/>
      <w:kern w:val="2"/>
      <w:sz w:val="24"/>
      <w:szCs w:val="24"/>
    </w:rPr>
  </w:style>
  <w:style w:type="character" w:customStyle="1" w:styleId="32">
    <w:name w:val="标题 9 Char"/>
    <w:link w:val="10"/>
    <w:semiHidden/>
    <w:qFormat/>
    <w:uiPriority w:val="0"/>
    <w:rPr>
      <w:rFonts w:ascii="等线 Light" w:hAnsi="等线 Light" w:eastAsia="等线 Light"/>
      <w:kern w:val="2"/>
      <w:sz w:val="21"/>
      <w:szCs w:val="21"/>
    </w:rPr>
  </w:style>
  <w:style w:type="character" w:customStyle="1" w:styleId="33">
    <w:name w:val="正文缩进 Char"/>
    <w:link w:val="11"/>
    <w:qFormat/>
    <w:uiPriority w:val="99"/>
    <w:rPr>
      <w:spacing w:val="8"/>
      <w:kern w:val="2"/>
      <w:sz w:val="24"/>
      <w:lang w:val="en-US" w:eastAsia="zh-CN"/>
    </w:rPr>
  </w:style>
  <w:style w:type="character" w:customStyle="1" w:styleId="34">
    <w:name w:val="批注文字 Char"/>
    <w:link w:val="12"/>
    <w:qFormat/>
    <w:uiPriority w:val="0"/>
    <w:rPr>
      <w:szCs w:val="24"/>
    </w:rPr>
  </w:style>
  <w:style w:type="character" w:customStyle="1" w:styleId="35">
    <w:name w:val="纯文本 Char"/>
    <w:link w:val="13"/>
    <w:qFormat/>
    <w:uiPriority w:val="0"/>
    <w:rPr>
      <w:rFonts w:ascii="Calibri" w:hAnsi="Courier New"/>
      <w:kern w:val="2"/>
      <w:sz w:val="21"/>
    </w:rPr>
  </w:style>
  <w:style w:type="character" w:customStyle="1" w:styleId="36">
    <w:name w:val="批注框文本 Char"/>
    <w:link w:val="14"/>
    <w:qFormat/>
    <w:uiPriority w:val="0"/>
    <w:rPr>
      <w:kern w:val="2"/>
      <w:sz w:val="18"/>
      <w:szCs w:val="18"/>
    </w:rPr>
  </w:style>
  <w:style w:type="character" w:customStyle="1" w:styleId="37">
    <w:name w:val="页脚 Char"/>
    <w:link w:val="15"/>
    <w:qFormat/>
    <w:uiPriority w:val="0"/>
    <w:rPr>
      <w:kern w:val="2"/>
      <w:sz w:val="18"/>
      <w:szCs w:val="18"/>
    </w:rPr>
  </w:style>
  <w:style w:type="character" w:customStyle="1" w:styleId="38">
    <w:name w:val="页眉 Char"/>
    <w:link w:val="16"/>
    <w:qFormat/>
    <w:uiPriority w:val="0"/>
    <w:rPr>
      <w:kern w:val="2"/>
      <w:sz w:val="18"/>
      <w:szCs w:val="18"/>
    </w:rPr>
  </w:style>
  <w:style w:type="character" w:customStyle="1" w:styleId="39">
    <w:name w:val="已访问的超链接1"/>
    <w:qFormat/>
    <w:uiPriority w:val="0"/>
    <w:rPr>
      <w:color w:val="800080"/>
      <w:u w:val="single"/>
    </w:rPr>
  </w:style>
  <w:style w:type="character" w:customStyle="1" w:styleId="40">
    <w:name w:val="正文（首行缩进2字符） Char"/>
    <w:link w:val="41"/>
    <w:qFormat/>
    <w:uiPriority w:val="0"/>
    <w:rPr>
      <w:kern w:val="2"/>
      <w:sz w:val="24"/>
      <w:szCs w:val="24"/>
    </w:rPr>
  </w:style>
  <w:style w:type="paragraph" w:customStyle="1" w:styleId="41">
    <w:name w:val="正文（首行缩进2字符）"/>
    <w:basedOn w:val="1"/>
    <w:link w:val="40"/>
    <w:qFormat/>
    <w:uiPriority w:val="0"/>
    <w:pPr>
      <w:spacing w:line="360" w:lineRule="auto"/>
      <w:ind w:firstLine="480" w:firstLineChars="200"/>
    </w:pPr>
    <w:rPr>
      <w:sz w:val="24"/>
      <w:lang w:val="zh-CN" w:eastAsia="zh-CN"/>
    </w:rPr>
  </w:style>
  <w:style w:type="character" w:customStyle="1" w:styleId="42">
    <w:name w:val="段落 Char1"/>
    <w:link w:val="43"/>
    <w:qFormat/>
    <w:uiPriority w:val="0"/>
    <w:rPr>
      <w:rFonts w:eastAsia="仿宋_GB2312"/>
      <w:sz w:val="24"/>
      <w:szCs w:val="24"/>
      <w:lang w:val="en-US" w:eastAsia="zh-CN" w:bidi="ar-SA"/>
    </w:rPr>
  </w:style>
  <w:style w:type="paragraph" w:customStyle="1" w:styleId="43">
    <w:name w:val="段落"/>
    <w:link w:val="42"/>
    <w:qFormat/>
    <w:uiPriority w:val="0"/>
    <w:pPr>
      <w:adjustRightInd w:val="0"/>
      <w:snapToGrid w:val="0"/>
      <w:spacing w:before="120" w:after="120" w:line="360" w:lineRule="auto"/>
      <w:ind w:firstLine="480" w:firstLineChars="200"/>
      <w:jc w:val="both"/>
    </w:pPr>
    <w:rPr>
      <w:rFonts w:ascii="Times New Roman" w:hAnsi="Times New Roman" w:eastAsia="仿宋_GB2312" w:cs="Times New Roman"/>
      <w:sz w:val="24"/>
      <w:szCs w:val="24"/>
      <w:lang w:val="en-US" w:eastAsia="zh-CN" w:bidi="ar-SA"/>
    </w:rPr>
  </w:style>
  <w:style w:type="character" w:customStyle="1" w:styleId="44">
    <w:name w:val="正文（安华金和） Char"/>
    <w:link w:val="45"/>
    <w:qFormat/>
    <w:uiPriority w:val="0"/>
    <w:rPr>
      <w:rFonts w:ascii="Arial" w:hAnsi="Arial"/>
      <w:sz w:val="21"/>
      <w:szCs w:val="21"/>
      <w:lang w:val="en-US" w:eastAsia="zh-CN" w:bidi="ar-SA"/>
    </w:rPr>
  </w:style>
  <w:style w:type="paragraph" w:customStyle="1" w:styleId="45">
    <w:name w:val="正文（安华金和）"/>
    <w:link w:val="44"/>
    <w:qFormat/>
    <w:uiPriority w:val="0"/>
    <w:pPr>
      <w:widowControl w:val="0"/>
      <w:spacing w:line="360" w:lineRule="auto"/>
      <w:ind w:firstLine="200"/>
    </w:pPr>
    <w:rPr>
      <w:rFonts w:ascii="Arial" w:hAnsi="Arial" w:eastAsia="宋体" w:cs="Times New Roman"/>
      <w:sz w:val="21"/>
      <w:szCs w:val="21"/>
      <w:lang w:val="en-US" w:eastAsia="zh-CN" w:bidi="ar-SA"/>
    </w:rPr>
  </w:style>
  <w:style w:type="character" w:customStyle="1" w:styleId="46">
    <w:name w:val="页脚 字符"/>
    <w:qFormat/>
    <w:uiPriority w:val="99"/>
  </w:style>
  <w:style w:type="character" w:customStyle="1" w:styleId="47">
    <w:name w:val="列出段落 Char"/>
    <w:link w:val="48"/>
    <w:qFormat/>
    <w:uiPriority w:val="34"/>
    <w:rPr>
      <w:rFonts w:ascii="等线" w:hAnsi="等线" w:eastAsia="等线"/>
      <w:kern w:val="2"/>
      <w:sz w:val="21"/>
      <w:szCs w:val="22"/>
    </w:rPr>
  </w:style>
  <w:style w:type="paragraph" w:styleId="48">
    <w:name w:val="List Paragraph"/>
    <w:basedOn w:val="1"/>
    <w:link w:val="47"/>
    <w:qFormat/>
    <w:uiPriority w:val="34"/>
    <w:pPr>
      <w:ind w:firstLine="420" w:firstLineChars="200"/>
    </w:pPr>
    <w:rPr>
      <w:rFonts w:ascii="等线" w:hAnsi="等线" w:eastAsia="等线"/>
      <w:szCs w:val="22"/>
      <w:lang w:val="zh-CN" w:eastAsia="zh-CN"/>
    </w:rPr>
  </w:style>
  <w:style w:type="paragraph" w:customStyle="1" w:styleId="49">
    <w:name w:val="插图标注（安华金和）"/>
    <w:next w:val="1"/>
    <w:qFormat/>
    <w:uiPriority w:val="0"/>
    <w:pPr>
      <w:numPr>
        <w:ilvl w:val="6"/>
        <w:numId w:val="2"/>
      </w:numPr>
      <w:spacing w:after="156"/>
      <w:jc w:val="center"/>
    </w:pPr>
    <w:rPr>
      <w:rFonts w:ascii="Arial" w:hAnsi="Arial" w:eastAsia="宋体" w:cs="Arial"/>
      <w:sz w:val="21"/>
      <w:szCs w:val="21"/>
      <w:lang w:val="en-US" w:eastAsia="zh-CN" w:bidi="ar-SA"/>
    </w:rPr>
  </w:style>
  <w:style w:type="paragraph" w:customStyle="1" w:styleId="50">
    <w:name w:val="标题 2（DBSec）"/>
    <w:basedOn w:val="3"/>
    <w:next w:val="1"/>
    <w:qFormat/>
    <w:uiPriority w:val="0"/>
    <w:pPr>
      <w:numPr>
        <w:ilvl w:val="1"/>
        <w:numId w:val="2"/>
      </w:numPr>
      <w:spacing w:line="415" w:lineRule="auto"/>
      <w:ind w:left="794" w:leftChars="200"/>
      <w:jc w:val="left"/>
    </w:pPr>
    <w:rPr>
      <w:rFonts w:ascii="Arial" w:hAnsi="Arial" w:eastAsia="黑体"/>
      <w:bCs w:val="0"/>
    </w:rPr>
  </w:style>
  <w:style w:type="paragraph" w:customStyle="1" w:styleId="51">
    <w:name w:val="Default"/>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paragraph" w:customStyle="1" w:styleId="52">
    <w:name w:val="_Style 27"/>
    <w:basedOn w:val="1"/>
    <w:next w:val="48"/>
    <w:qFormat/>
    <w:uiPriority w:val="34"/>
    <w:pPr>
      <w:widowControl/>
      <w:spacing w:line="240" w:lineRule="atLeast"/>
      <w:ind w:firstLine="420" w:firstLineChars="200"/>
    </w:pPr>
    <w:rPr>
      <w:rFonts w:ascii="Arial" w:hAnsi="Arial"/>
      <w:kern w:val="0"/>
      <w:szCs w:val="21"/>
    </w:rPr>
  </w:style>
  <w:style w:type="paragraph" w:customStyle="1" w:styleId="53">
    <w:name w:val="列出段落2"/>
    <w:basedOn w:val="1"/>
    <w:qFormat/>
    <w:uiPriority w:val="99"/>
    <w:pPr>
      <w:widowControl/>
      <w:spacing w:line="240" w:lineRule="atLeast"/>
      <w:ind w:firstLine="420" w:firstLineChars="200"/>
    </w:pPr>
    <w:rPr>
      <w:rFonts w:ascii="Arial" w:hAnsi="Arial"/>
      <w:kern w:val="0"/>
      <w:szCs w:val="21"/>
    </w:rPr>
  </w:style>
  <w:style w:type="paragraph" w:customStyle="1" w:styleId="54">
    <w:name w:val="标题 6（有编号）（安华金和）"/>
    <w:basedOn w:val="1"/>
    <w:next w:val="1"/>
    <w:qFormat/>
    <w:uiPriority w:val="0"/>
    <w:pPr>
      <w:keepNext/>
      <w:keepLines/>
      <w:numPr>
        <w:ilvl w:val="5"/>
        <w:numId w:val="2"/>
      </w:numPr>
      <w:spacing w:before="240" w:after="64" w:line="319" w:lineRule="auto"/>
      <w:ind w:left="0"/>
      <w:jc w:val="left"/>
      <w:outlineLvl w:val="5"/>
    </w:pPr>
    <w:rPr>
      <w:rFonts w:ascii="Arial" w:hAnsi="Arial" w:eastAsia="黑体"/>
      <w:b/>
      <w:kern w:val="0"/>
    </w:rPr>
  </w:style>
  <w:style w:type="paragraph" w:customStyle="1" w:styleId="55">
    <w:name w:val="标题 4（DBSec）"/>
    <w:basedOn w:val="5"/>
    <w:next w:val="1"/>
    <w:qFormat/>
    <w:uiPriority w:val="0"/>
    <w:pPr>
      <w:widowControl/>
      <w:numPr>
        <w:numId w:val="2"/>
      </w:numPr>
      <w:spacing w:after="156"/>
      <w:ind w:leftChars="200"/>
      <w:jc w:val="left"/>
    </w:pPr>
    <w:rPr>
      <w:rFonts w:ascii="Arial" w:hAnsi="Arial" w:eastAsia="黑体"/>
      <w:bCs w:val="0"/>
      <w:kern w:val="0"/>
    </w:rPr>
  </w:style>
  <w:style w:type="paragraph" w:customStyle="1" w:styleId="56">
    <w:name w:val="标题 3（DBSec）"/>
    <w:basedOn w:val="4"/>
    <w:next w:val="1"/>
    <w:qFormat/>
    <w:uiPriority w:val="0"/>
    <w:pPr>
      <w:numPr>
        <w:ilvl w:val="2"/>
        <w:numId w:val="2"/>
      </w:numPr>
      <w:tabs>
        <w:tab w:val="left" w:pos="960"/>
      </w:tabs>
      <w:spacing w:line="415" w:lineRule="auto"/>
      <w:ind w:leftChars="200"/>
      <w:jc w:val="left"/>
    </w:pPr>
    <w:rPr>
      <w:rFonts w:ascii="Arial" w:hAnsi="Arial" w:eastAsia="黑体"/>
      <w:bCs w:val="0"/>
      <w:kern w:val="0"/>
    </w:rPr>
  </w:style>
  <w:style w:type="paragraph" w:customStyle="1" w:styleId="57">
    <w:name w:val="标题 1（DBSec）"/>
    <w:basedOn w:val="2"/>
    <w:next w:val="1"/>
    <w:qFormat/>
    <w:uiPriority w:val="0"/>
    <w:pPr>
      <w:pageBreakBefore/>
      <w:numPr>
        <w:numId w:val="2"/>
      </w:numPr>
      <w:pBdr>
        <w:bottom w:val="single" w:color="auto" w:sz="48" w:space="1"/>
      </w:pBdr>
      <w:spacing w:before="600" w:line="576" w:lineRule="auto"/>
      <w:ind w:leftChars="200"/>
      <w:jc w:val="left"/>
    </w:pPr>
    <w:rPr>
      <w:rFonts w:ascii="Arial" w:hAnsi="Arial" w:eastAsia="黑体"/>
      <w:lang w:val="en-US" w:eastAsia="zh-CN"/>
    </w:rPr>
  </w:style>
  <w:style w:type="paragraph" w:customStyle="1" w:styleId="58">
    <w:name w:val="彩色列表 - 着色 11"/>
    <w:basedOn w:val="1"/>
    <w:qFormat/>
    <w:uiPriority w:val="34"/>
    <w:pPr>
      <w:spacing w:line="360" w:lineRule="auto"/>
      <w:ind w:firstLine="420" w:firstLineChars="200"/>
    </w:pPr>
    <w:rPr>
      <w:rFonts w:ascii="Arial" w:hAnsi="Arial"/>
      <w:szCs w:val="21"/>
    </w:rPr>
  </w:style>
  <w:style w:type="paragraph" w:customStyle="1" w:styleId="59">
    <w:name w:val="表格标注（安华金和）"/>
    <w:basedOn w:val="49"/>
    <w:next w:val="1"/>
    <w:qFormat/>
    <w:uiPriority w:val="0"/>
    <w:pPr>
      <w:numPr>
        <w:ilvl w:val="7"/>
      </w:numPr>
    </w:pPr>
  </w:style>
  <w:style w:type="paragraph" w:customStyle="1" w:styleId="60">
    <w:name w:val="标题 5（有编号）（安华金和）"/>
    <w:basedOn w:val="1"/>
    <w:next w:val="1"/>
    <w:qFormat/>
    <w:uiPriority w:val="0"/>
    <w:pPr>
      <w:keepNext/>
      <w:keepLines/>
      <w:numPr>
        <w:ilvl w:val="4"/>
        <w:numId w:val="2"/>
      </w:numPr>
      <w:spacing w:before="280" w:after="156" w:line="377" w:lineRule="auto"/>
      <w:ind w:left="0"/>
      <w:jc w:val="left"/>
      <w:outlineLvl w:val="4"/>
    </w:pPr>
    <w:rPr>
      <w:rFonts w:ascii="Arial" w:hAnsi="Arial" w:eastAsia="黑体"/>
      <w:b/>
      <w:kern w:val="0"/>
      <w:sz w:val="24"/>
      <w:szCs w:val="28"/>
    </w:rPr>
  </w:style>
  <w:style w:type="paragraph" w:customStyle="1" w:styleId="61">
    <w:name w:val="List Paragraph11"/>
    <w:basedOn w:val="1"/>
    <w:next w:val="1"/>
    <w:qFormat/>
    <w:uiPriority w:val="34"/>
    <w:pPr>
      <w:spacing w:line="360" w:lineRule="auto"/>
      <w:ind w:firstLine="420" w:firstLineChars="200"/>
    </w:pPr>
    <w:rPr>
      <w:rFonts w:ascii="Verdana" w:hAnsi="Verdana"/>
      <w:color w:val="000000"/>
      <w:sz w:val="20"/>
      <w:szCs w:val="20"/>
    </w:rPr>
  </w:style>
  <w:style w:type="character" w:customStyle="1" w:styleId="62">
    <w:name w:val="批注文字 字符"/>
    <w:qFormat/>
    <w:uiPriority w:val="99"/>
    <w:rPr>
      <w:kern w:val="2"/>
      <w:sz w:val="21"/>
      <w:szCs w:val="24"/>
    </w:rPr>
  </w:style>
  <w:style w:type="character" w:customStyle="1" w:styleId="63">
    <w:name w:val="副标题 字符"/>
    <w:link w:val="17"/>
    <w:uiPriority w:val="0"/>
    <w:rPr>
      <w:rFonts w:ascii="Cambria" w:hAnsi="Cambria"/>
      <w:b/>
      <w:bCs/>
      <w:kern w:val="28"/>
      <w:sz w:val="32"/>
      <w:szCs w:val="32"/>
      <w:lang w:eastAsia="en-US"/>
    </w:rPr>
  </w:style>
  <w:style w:type="table" w:customStyle="1" w:styleId="64">
    <w:name w:val="网格型1"/>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101</Words>
  <Characters>123</Characters>
  <Lines>10</Lines>
  <Paragraphs>2</Paragraphs>
  <TotalTime>2</TotalTime>
  <ScaleCrop>false</ScaleCrop>
  <LinksUpToDate>false</LinksUpToDate>
  <CharactersWithSpaces>123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2022-01-06T02:42:00Z</dcterms:created>
  <dc:creator>陈永辉</dc:creator>
  <cp:lastModifiedBy>netuser</cp:lastModifiedBy>
  <dcterms:modified xsi:type="dcterms:W3CDTF">2023-06-19T08:09:00Z</dcterms:modified>
  <dc:title>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3BEBE81D899C413BB1D137CC195C1CF3_13</vt:lpwstr>
  </property>
</Properties>
</file>