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 w:line="360" w:lineRule="auto"/>
        <w:jc w:val="center"/>
        <w:rPr>
          <w:rFonts w:hint="default" w:ascii="宋体" w:hAnsi="宋体" w:eastAsia="宋体"/>
          <w:b/>
          <w:sz w:val="44"/>
          <w:szCs w:val="30"/>
          <w:lang w:val="en-US" w:eastAsia="zh-CN"/>
        </w:rPr>
      </w:pPr>
      <w:r>
        <w:rPr>
          <w:rFonts w:hint="eastAsia" w:ascii="宋体" w:hAnsi="宋体"/>
          <w:b/>
          <w:sz w:val="44"/>
          <w:szCs w:val="30"/>
        </w:rPr>
        <w:t>评审投票管理系统</w:t>
      </w:r>
      <w:r>
        <w:rPr>
          <w:rFonts w:hint="eastAsia" w:ascii="宋体" w:hAnsi="宋体"/>
          <w:b/>
          <w:sz w:val="44"/>
          <w:szCs w:val="30"/>
          <w:lang w:val="en-US" w:eastAsia="zh-CN"/>
        </w:rPr>
        <w:t>项目需求</w:t>
      </w:r>
    </w:p>
    <w:p>
      <w:pPr>
        <w:pStyle w:val="2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项目名称</w:t>
      </w:r>
    </w:p>
    <w:p>
      <w:pPr>
        <w:spacing w:line="360" w:lineRule="auto"/>
        <w:ind w:left="43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项目名称：评审投票管理系统</w:t>
      </w:r>
    </w:p>
    <w:p>
      <w:pPr>
        <w:pStyle w:val="2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项目</w:t>
      </w:r>
      <w:r>
        <w:rPr>
          <w:rFonts w:ascii="宋体" w:hAnsi="宋体"/>
          <w:sz w:val="32"/>
        </w:rPr>
        <w:t>需求</w:t>
      </w:r>
      <w:r>
        <w:rPr>
          <w:rFonts w:hint="eastAsia" w:ascii="宋体" w:hAnsi="宋体"/>
          <w:sz w:val="32"/>
        </w:rPr>
        <w:t>内容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供应商按照</w:t>
      </w:r>
      <w:r>
        <w:rPr>
          <w:rFonts w:ascii="宋体" w:hAnsi="宋体"/>
          <w:szCs w:val="21"/>
        </w:rPr>
        <w:t>医院需求，满足医院</w:t>
      </w:r>
      <w:r>
        <w:rPr>
          <w:rFonts w:hint="eastAsia" w:ascii="宋体" w:hAnsi="宋体"/>
          <w:szCs w:val="21"/>
        </w:rPr>
        <w:t>人事处</w:t>
      </w:r>
      <w:r>
        <w:rPr>
          <w:rFonts w:ascii="宋体" w:hAnsi="宋体"/>
          <w:szCs w:val="21"/>
        </w:rPr>
        <w:t>职称评审、</w:t>
      </w:r>
      <w:r>
        <w:rPr>
          <w:rFonts w:hint="eastAsia" w:ascii="宋体" w:hAnsi="宋体"/>
          <w:szCs w:val="21"/>
        </w:rPr>
        <w:t>各管理</w:t>
      </w:r>
      <w:r>
        <w:rPr>
          <w:rFonts w:ascii="宋体" w:hAnsi="宋体"/>
          <w:szCs w:val="21"/>
        </w:rPr>
        <w:t>委员会（</w:t>
      </w:r>
      <w:r>
        <w:rPr>
          <w:rFonts w:hint="eastAsia" w:ascii="宋体" w:hAnsi="宋体"/>
          <w:szCs w:val="21"/>
        </w:rPr>
        <w:t>包括</w:t>
      </w:r>
      <w:r>
        <w:rPr>
          <w:rFonts w:ascii="宋体" w:hAnsi="宋体"/>
          <w:szCs w:val="21"/>
        </w:rPr>
        <w:t>不限于：</w:t>
      </w:r>
      <w:r>
        <w:rPr>
          <w:rFonts w:hint="eastAsia" w:ascii="宋体" w:hAnsi="宋体"/>
          <w:szCs w:val="21"/>
        </w:rPr>
        <w:t>医用</w:t>
      </w:r>
      <w:r>
        <w:rPr>
          <w:rFonts w:ascii="宋体" w:hAnsi="宋体"/>
          <w:szCs w:val="21"/>
        </w:rPr>
        <w:t>耗材管理委员会、医学装备管理委员会、</w:t>
      </w:r>
      <w:r>
        <w:rPr>
          <w:rFonts w:hint="eastAsia" w:ascii="宋体" w:hAnsi="宋体"/>
          <w:szCs w:val="21"/>
        </w:rPr>
        <w:t>医疗</w:t>
      </w:r>
      <w:r>
        <w:rPr>
          <w:rFonts w:ascii="宋体" w:hAnsi="宋体"/>
          <w:szCs w:val="21"/>
        </w:rPr>
        <w:t>技术临床应用管理委员会、临床研究管理委员会</w:t>
      </w:r>
      <w:r>
        <w:rPr>
          <w:rFonts w:hint="eastAsia" w:ascii="宋体" w:hAnsi="宋体"/>
          <w:szCs w:val="21"/>
        </w:rPr>
        <w:t>、药事管理与药物治疗学委员会、医疗质量与安全管理委员会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投票需求。</w:t>
      </w:r>
    </w:p>
    <w:p/>
    <w:tbl>
      <w:tblPr>
        <w:tblStyle w:val="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27"/>
        <w:gridCol w:w="3119"/>
        <w:gridCol w:w="1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3827" w:type="dxa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3119" w:type="dxa"/>
          </w:tcPr>
          <w:p>
            <w:r>
              <w:rPr>
                <w:rFonts w:hint="eastAsia"/>
              </w:rPr>
              <w:t>配置描述</w:t>
            </w:r>
          </w:p>
        </w:tc>
        <w:tc>
          <w:tcPr>
            <w:tcW w:w="1297" w:type="dxa"/>
          </w:tcPr>
          <w:p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评审投票管理系统</w:t>
            </w:r>
            <w:r>
              <w:rPr>
                <w:bCs/>
              </w:rPr>
              <w:t>软件</w:t>
            </w:r>
          </w:p>
        </w:tc>
        <w:tc>
          <w:tcPr>
            <w:tcW w:w="3119" w:type="dxa"/>
          </w:tcPr>
          <w:p>
            <w:pPr>
              <w:rPr>
                <w:bCs/>
              </w:rPr>
            </w:pPr>
            <w:r>
              <w:fldChar w:fldCharType="begin"/>
            </w:r>
            <w:r>
              <w:instrText xml:space="preserve"> HYPERLINK \l "_3.1.1、咨询服务" </w:instrText>
            </w:r>
            <w:r>
              <w:fldChar w:fldCharType="separate"/>
            </w:r>
            <w:r>
              <w:rPr>
                <w:rFonts w:hint="eastAsia"/>
                <w:bCs/>
              </w:rPr>
              <w:t>配置详见3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fldChar w:fldCharType="end"/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1</w:t>
            </w:r>
            <w:r>
              <w:rPr>
                <w:rFonts w:hint="eastAsia"/>
                <w:bCs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left"/>
            </w:pPr>
            <w:r>
              <w:t>2</w:t>
            </w:r>
          </w:p>
        </w:tc>
        <w:tc>
          <w:tcPr>
            <w:tcW w:w="3827" w:type="dxa"/>
          </w:tcPr>
          <w:p>
            <w:r>
              <w:rPr>
                <w:rFonts w:hint="eastAsia"/>
              </w:rPr>
              <w:t>投票配套</w:t>
            </w:r>
            <w:r>
              <w:t>设备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配置详见</w:t>
            </w:r>
            <w:r>
              <w:t>3.2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</w:pPr>
            <w:r>
              <w:t>25</w:t>
            </w:r>
            <w:r>
              <w:rPr>
                <w:rFonts w:hint="eastAsia"/>
              </w:rPr>
              <w:t>台</w:t>
            </w:r>
          </w:p>
        </w:tc>
      </w:tr>
    </w:tbl>
    <w:p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1"/>
        <w:keepNext/>
        <w:keepLines/>
        <w:numPr>
          <w:ilvl w:val="1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2"/>
        <w:numPr>
          <w:ilvl w:val="0"/>
          <w:numId w:val="3"/>
        </w:numPr>
        <w:rPr>
          <w:rFonts w:ascii="宋体" w:hAnsi="宋体"/>
          <w:sz w:val="32"/>
        </w:rPr>
      </w:pPr>
      <w:bookmarkStart w:id="0" w:name="_3.1.1、模块1"/>
      <w:bookmarkEnd w:id="0"/>
      <w:bookmarkStart w:id="1" w:name="_3.1.1、咨询服务"/>
      <w:bookmarkEnd w:id="1"/>
      <w:bookmarkStart w:id="2" w:name="_6.1.1、大数据服务器"/>
      <w:bookmarkEnd w:id="2"/>
      <w:r>
        <w:rPr>
          <w:rFonts w:hint="eastAsia" w:ascii="宋体" w:hAnsi="宋体"/>
          <w:sz w:val="32"/>
        </w:rPr>
        <w:t>详细配置参数</w:t>
      </w:r>
    </w:p>
    <w:p>
      <w:pPr>
        <w:pStyle w:val="3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3.1</w:t>
      </w:r>
      <w:r>
        <w:rPr>
          <w:rFonts w:hint="eastAsia" w:ascii="宋体" w:hAnsi="宋体" w:eastAsia="宋体"/>
          <w:sz w:val="24"/>
          <w:szCs w:val="24"/>
        </w:rPr>
        <w:t>投票</w:t>
      </w:r>
      <w:r>
        <w:rPr>
          <w:rFonts w:ascii="宋体" w:hAnsi="宋体" w:eastAsia="宋体"/>
          <w:sz w:val="24"/>
          <w:szCs w:val="24"/>
        </w:rPr>
        <w:t>管理系统</w:t>
      </w:r>
      <w:r>
        <w:rPr>
          <w:rFonts w:hint="eastAsia" w:ascii="宋体" w:hAnsi="宋体" w:eastAsia="宋体"/>
          <w:sz w:val="24"/>
          <w:szCs w:val="24"/>
        </w:rPr>
        <w:t>软件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220"/>
        <w:gridCol w:w="7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657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指标项</w:t>
            </w:r>
          </w:p>
        </w:tc>
        <w:tc>
          <w:tcPr>
            <w:tcW w:w="3781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投票模板管理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系统可内置不同的投票模板，可将每次启动的投票项目保存为投票模板，下次可复用模板中的投票规则、投票指标等。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投票项目管理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系统支持创建投票项目，可选择使用已有模板创建、新增投票项目两种方式，支持对投票规则、投票指标、申报人、评委等进行灵活设置。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bCs/>
                <w:szCs w:val="21"/>
              </w:rPr>
              <w:t>①投票规则设置：</w:t>
            </w:r>
            <w:r>
              <w:rPr>
                <w:rFonts w:hint="eastAsia"/>
                <w:szCs w:val="21"/>
              </w:rPr>
              <w:t>支持等额、差额、差额分组、打分四种投票规则，可设置对应的名额、可投同意票数、通过票数比例；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bCs/>
                <w:szCs w:val="21"/>
              </w:rPr>
              <w:t>②投票指标设置：</w:t>
            </w:r>
            <w:r>
              <w:rPr>
                <w:rFonts w:hint="eastAsia"/>
                <w:szCs w:val="21"/>
              </w:rPr>
              <w:t>支持设置指标名称、排序号，可设置每个指标是否定义为通过、票数存储规则（同意票数、不同意票数、弃权票数）；若是打分投票规则，还可设置每个指标的分值以及权重；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bCs/>
                <w:szCs w:val="21"/>
              </w:rPr>
              <w:t>③申报人设置：</w:t>
            </w:r>
            <w:r>
              <w:rPr>
                <w:rFonts w:hint="eastAsia"/>
                <w:szCs w:val="21"/>
              </w:rPr>
              <w:t>可定义和维护申报人信息及其材料，支持批量导入申报人基本信息；支持批量导入附件材料，上传压缩包后自动解析并与已有申报人匹配，也可手动调整；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bCs/>
                <w:szCs w:val="21"/>
              </w:rPr>
              <w:t>④评委设置：</w:t>
            </w:r>
            <w:r>
              <w:rPr>
                <w:rFonts w:hint="eastAsia"/>
                <w:szCs w:val="21"/>
              </w:rPr>
              <w:t>系统根据评委数自动生成匿名账号和二维码，也可引用其他投票项目的投票账号；投票账号支持导出。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投票监控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系统支持实时查看每一轮投票的具体情况，当前已提交人数、总人数、投票进度百分比等；支持实时查看申报人每一轮的投票结果，包括同意票数、弃权票数、不同意票数。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多轮投票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差额模式下，可进行多轮反复投票，可选择投票组启动下一轮投票，筛选进入下一轮投票的人员，设定每轮投票的名额和通过票数等；可查看每轮投票的情况。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投票结果与统计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投票结束后，系统自动统计票数，并可根据规则判断哪些人通过了投票。投票结果可现场打印出来供专家签字确认。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投票大屏显示</w:t>
            </w:r>
            <w:bookmarkStart w:id="3" w:name="_GoBack"/>
            <w:bookmarkEnd w:id="3"/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投票结果及进度可通过大屏幕现场显示，可展示投票中和已完成的项目；支持实时查看投票项目每一轮的基本信息和专家投票情况；可通过饼状图、柱状图等图表实时显示投票结果。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投票登录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支持电脑、手机、平板等多种方式登录投票系统，可直接访问投票地址、输入投票账号或手机扫描二维码进行投票。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申报人信息查询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支持预览申报人基本信息、附件材料信息。预览过程中可以对申报人打标签，能快速筛选出不同标签的申报人。支持</w:t>
            </w:r>
            <w:r>
              <w:rPr>
                <w:szCs w:val="21"/>
              </w:rPr>
              <w:t>查看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>人</w:t>
            </w:r>
            <w:r>
              <w:rPr>
                <w:rFonts w:hint="eastAsia"/>
                <w:szCs w:val="21"/>
              </w:rPr>
              <w:t>多种形式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业绩</w:t>
            </w:r>
            <w:r>
              <w:rPr>
                <w:szCs w:val="21"/>
              </w:rPr>
              <w:t>信息，例如图片、</w:t>
            </w:r>
            <w:r>
              <w:rPr>
                <w:rFonts w:hint="eastAsia"/>
                <w:szCs w:val="21"/>
              </w:rPr>
              <w:t>PDF文件、</w:t>
            </w:r>
            <w:r>
              <w:rPr>
                <w:szCs w:val="21"/>
              </w:rPr>
              <w:t>业务工作量等。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在线投票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支持批量投票或按申报人逐个投票，系统实时统计最多可投、已投、剩余票数，</w:t>
            </w:r>
            <w:r>
              <w:rPr>
                <w:szCs w:val="21"/>
              </w:rPr>
              <w:t>投票结果支持</w:t>
            </w:r>
            <w:r>
              <w:rPr>
                <w:rFonts w:hint="eastAsia"/>
                <w:szCs w:val="21"/>
              </w:rPr>
              <w:t>通过\拒绝模式</w:t>
            </w:r>
            <w:r>
              <w:rPr>
                <w:szCs w:val="21"/>
              </w:rPr>
              <w:t>、多选择项</w:t>
            </w:r>
            <w:r>
              <w:rPr>
                <w:rFonts w:hint="eastAsia"/>
                <w:szCs w:val="21"/>
              </w:rPr>
              <w:t>模式</w:t>
            </w:r>
            <w:r>
              <w:rPr>
                <w:szCs w:val="21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申报人信息</w:t>
            </w:r>
            <w:r>
              <w:rPr>
                <w:bCs/>
                <w:szCs w:val="21"/>
              </w:rPr>
              <w:t>录入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支持批量</w:t>
            </w:r>
            <w:r>
              <w:rPr>
                <w:szCs w:val="21"/>
              </w:rPr>
              <w:t>导入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>人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申报材料、佐证业绩，</w:t>
            </w:r>
            <w:r>
              <w:rPr>
                <w:rFonts w:hint="eastAsia"/>
                <w:szCs w:val="21"/>
              </w:rPr>
              <w:t>支持</w:t>
            </w:r>
            <w:r>
              <w:rPr>
                <w:szCs w:val="21"/>
              </w:rPr>
              <w:t>图片、excel、</w:t>
            </w:r>
            <w:r>
              <w:rPr>
                <w:rFonts w:hint="eastAsia"/>
                <w:szCs w:val="21"/>
              </w:rPr>
              <w:t>文件</w:t>
            </w:r>
            <w:r>
              <w:rPr>
                <w:szCs w:val="21"/>
              </w:rPr>
              <w:t>等多种格式，并进行快速关联。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系统</w:t>
            </w:r>
            <w:r>
              <w:rPr>
                <w:bCs/>
                <w:szCs w:val="21"/>
              </w:rPr>
              <w:t>管理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提供</w:t>
            </w:r>
            <w:r>
              <w:rPr>
                <w:szCs w:val="21"/>
              </w:rPr>
              <w:t>人员、权限、菜单等基础功能维护管理。</w:t>
            </w:r>
          </w:p>
        </w:tc>
      </w:tr>
    </w:tbl>
    <w:p/>
    <w:p>
      <w:pPr>
        <w:pStyle w:val="3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3.2</w:t>
      </w:r>
      <w:r>
        <w:rPr>
          <w:rFonts w:hint="eastAsia" w:ascii="宋体" w:hAnsi="宋体" w:eastAsia="宋体"/>
          <w:sz w:val="24"/>
          <w:szCs w:val="24"/>
        </w:rPr>
        <w:t>投票配套设备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220"/>
        <w:gridCol w:w="7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657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指标项</w:t>
            </w:r>
          </w:p>
        </w:tc>
        <w:tc>
          <w:tcPr>
            <w:tcW w:w="3781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CPU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t>≥</w:t>
            </w:r>
            <w:r>
              <w:rPr>
                <w:rFonts w:hint="eastAsia"/>
              </w:rPr>
              <w:t>第十一代</w:t>
            </w:r>
            <w:r>
              <w:t xml:space="preserve">Intel </w:t>
            </w:r>
            <w:r>
              <w:rPr>
                <w:rFonts w:hint="eastAsia"/>
              </w:rPr>
              <w:t>酷睿CPU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</w:pPr>
            <w:r>
              <w:t>显示器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</w:pPr>
            <w:r>
              <w:rPr>
                <w:rFonts w:hint="eastAsia"/>
              </w:rPr>
              <w:t>屏幕</w:t>
            </w:r>
            <w:r>
              <w:t>尺寸</w:t>
            </w:r>
            <w:r>
              <w:rPr>
                <w:rFonts w:hint="eastAsia"/>
              </w:rPr>
              <w:t>≤13英寸</w:t>
            </w:r>
          </w:p>
          <w:p>
            <w:pPr>
              <w:adjustRightInd w:val="0"/>
              <w:snapToGrid w:val="0"/>
              <w:spacing w:line="312" w:lineRule="auto"/>
            </w:pPr>
            <w:r>
              <w:rPr>
                <w:rFonts w:hint="eastAsia"/>
              </w:rPr>
              <w:t xml:space="preserve">刷新率≥ 2880 x 1920 </w:t>
            </w:r>
            <w:r>
              <w:t xml:space="preserve"> </w:t>
            </w:r>
          </w:p>
          <w:p>
            <w:pPr>
              <w:adjustRightInd w:val="0"/>
              <w:snapToGrid w:val="0"/>
              <w:spacing w:line="312" w:lineRule="auto"/>
            </w:pPr>
            <w:r>
              <w:rPr>
                <w:rFonts w:hint="eastAsia"/>
              </w:rPr>
              <w:t>支持触控笔及书写反馈，</w:t>
            </w:r>
            <w:r>
              <w:t>触控</w:t>
            </w:r>
            <w:r>
              <w:rPr>
                <w:rFonts w:hint="eastAsia"/>
              </w:rPr>
              <w:t>点</w:t>
            </w:r>
            <w:r>
              <w:t>≥10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刷新率≥1</w:t>
            </w:r>
            <w:r>
              <w:t>20</w:t>
            </w:r>
            <w:r>
              <w:rPr>
                <w:rFonts w:hint="eastAsia"/>
              </w:rPr>
              <w:t>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</w:pPr>
            <w:r>
              <w:t>声卡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扬声器支持Dolby</w:t>
            </w:r>
            <w:r>
              <w:t xml:space="preserve"> </w:t>
            </w:r>
            <w:r>
              <w:rPr>
                <w:rFonts w:hint="eastAsia"/>
              </w:rPr>
              <w:t>全景声音效，前置远场双麦克风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</w:pPr>
            <w:r>
              <w:t>内存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≥8GB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</w:pPr>
            <w:r>
              <w:t>硬盘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宋体" w:cs="宋体"/>
                <w:szCs w:val="21"/>
              </w:rPr>
            </w:pPr>
            <w:r>
              <w:t>≥128 GB</w:t>
            </w:r>
            <w:r>
              <w:rPr>
                <w:rFonts w:hint="eastAsia"/>
              </w:rPr>
              <w:t xml:space="preserve"> NVMe</w:t>
            </w:r>
            <w:r>
              <w:t xml:space="preserve"> </w:t>
            </w:r>
            <w:r>
              <w:rPr>
                <w:rFonts w:hint="eastAsia"/>
              </w:rPr>
              <w:t>BGA</w:t>
            </w:r>
            <w:r>
              <w:t xml:space="preserve"> </w:t>
            </w:r>
            <w:r>
              <w:rPr>
                <w:rFonts w:hint="eastAsia"/>
              </w:rPr>
              <w:t>SSD</w:t>
            </w:r>
            <w:r>
              <w:t xml:space="preserve"> </w:t>
            </w:r>
            <w:r>
              <w:rPr>
                <w:rFonts w:hint="eastAsia"/>
              </w:rPr>
              <w:t>可拆卸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</w:pPr>
            <w:r>
              <w:t>无线网卡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</w:pPr>
            <w:r>
              <w:rPr>
                <w:rFonts w:hint="eastAsia"/>
              </w:rPr>
              <w:t>支持 WiFi</w:t>
            </w:r>
            <w:r>
              <w:t xml:space="preserve"> 6 </w:t>
            </w:r>
            <w:r>
              <w:rPr>
                <w:rFonts w:hint="eastAsia"/>
              </w:rPr>
              <w:t>兼容</w:t>
            </w:r>
            <w:r>
              <w:t>802.11ax</w:t>
            </w:r>
            <w:r>
              <w:rPr>
                <w:rFonts w:hint="eastAsia"/>
              </w:rPr>
              <w:t>支持2.4G和5G频段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支持Miracast无线投屏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TPM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内置TPM（TCM</w:t>
            </w:r>
            <w:r>
              <w:t xml:space="preserve"> 2.0</w:t>
            </w:r>
            <w:r>
              <w:rPr>
                <w:rFonts w:hint="eastAsia"/>
              </w:rPr>
              <w:t>）安全芯片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蓝牙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支持</w:t>
            </w:r>
            <w:r>
              <w:t>蓝牙5.1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TYPC接口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内置TYPC接口（数量≥2）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</w:pPr>
            <w:r>
              <w:t>摄像头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r>
              <w:rPr>
                <w:rFonts w:hint="eastAsia"/>
              </w:rPr>
              <w:t>前置摄像头像素≥500万</w:t>
            </w:r>
            <w:r>
              <w:t>像素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后置摄像头像素</w:t>
            </w:r>
            <w:r>
              <w:t>≥1000</w:t>
            </w:r>
            <w:r>
              <w:rPr>
                <w:rFonts w:hint="eastAsia"/>
              </w:rPr>
              <w:t>万</w:t>
            </w:r>
            <w:r>
              <w:t>像素，</w:t>
            </w:r>
            <w:r>
              <w:rPr>
                <w:rFonts w:hint="eastAsia"/>
              </w:rPr>
              <w:t>支持自动对焦。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键盘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内置分离式背光键盘。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触控笔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r>
              <w:rPr>
                <w:rFonts w:hint="eastAsia"/>
              </w:rPr>
              <w:t>4096级压感</w:t>
            </w:r>
          </w:p>
          <w:p>
            <w:r>
              <w:rPr>
                <w:rFonts w:hint="eastAsia"/>
              </w:rPr>
              <w:t>电池续航时间≥1年</w:t>
            </w:r>
          </w:p>
          <w:p>
            <w:r>
              <w:rPr>
                <w:rFonts w:hint="eastAsia"/>
              </w:rPr>
              <w:t>支持1</w:t>
            </w:r>
            <w:r>
              <w:t>20</w:t>
            </w:r>
            <w:r>
              <w:rPr>
                <w:rFonts w:hint="eastAsia"/>
              </w:rPr>
              <w:t>Hz</w:t>
            </w:r>
            <w:r>
              <w:t xml:space="preserve"> </w:t>
            </w:r>
            <w:r>
              <w:rPr>
                <w:rFonts w:hint="eastAsia"/>
              </w:rPr>
              <w:t>刷新率</w:t>
            </w:r>
          </w:p>
          <w:p>
            <w:r>
              <w:rPr>
                <w:rFonts w:hint="eastAsia"/>
              </w:rPr>
              <w:t>支持无线充电</w:t>
            </w:r>
          </w:p>
          <w:p>
            <w:r>
              <w:rPr>
                <w:rFonts w:hint="eastAsia"/>
              </w:rPr>
              <w:t>支持书写反馈</w:t>
            </w:r>
          </w:p>
          <w:p>
            <w:r>
              <w:t>60Hz</w:t>
            </w:r>
            <w:r>
              <w:rPr>
                <w:rFonts w:hint="eastAsia"/>
              </w:rPr>
              <w:t>刷新率</w:t>
            </w:r>
            <w:r>
              <w:t>响应时间小于等于</w:t>
            </w:r>
            <w:r>
              <w:rPr>
                <w:rFonts w:hint="eastAsia"/>
              </w:rPr>
              <w:t>20</w:t>
            </w:r>
            <w:r>
              <w:t>ms</w:t>
            </w:r>
          </w:p>
          <w:p>
            <w:pPr>
              <w:rPr>
                <w:rFonts w:ascii="宋体" w:cs="宋体"/>
                <w:szCs w:val="21"/>
              </w:rPr>
            </w:pPr>
            <w:r>
              <w:t>120Hz</w:t>
            </w:r>
            <w:r>
              <w:rPr>
                <w:rFonts w:hint="eastAsia"/>
              </w:rPr>
              <w:t>刷新率</w:t>
            </w:r>
            <w:r>
              <w:t>响应时间小于等于</w:t>
            </w:r>
            <w:r>
              <w:rPr>
                <w:rFonts w:hint="eastAsia"/>
              </w:rPr>
              <w:t>12</w:t>
            </w:r>
            <w: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续航时间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≥1</w:t>
            </w:r>
            <w:r>
              <w:t>6</w:t>
            </w:r>
            <w:r>
              <w:rPr>
                <w:rFonts w:hint="eastAsia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重量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主机加键盘重量</w:t>
            </w:r>
            <w:r>
              <w:t>≤</w:t>
            </w:r>
            <w:r>
              <w:rPr>
                <w:rFonts w:hint="eastAsia"/>
              </w:rPr>
              <w:t>1.</w:t>
            </w:r>
            <w:r>
              <w:t>2</w:t>
            </w:r>
            <w:r>
              <w:rPr>
                <w:rFonts w:hint="eastAsia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机身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镁合金</w:t>
            </w:r>
            <w:r>
              <w:t>机身集成一体式支架</w:t>
            </w:r>
            <w:r>
              <w:rPr>
                <w:rFonts w:hint="eastAsia"/>
              </w:rPr>
              <w:t>，</w:t>
            </w:r>
            <w:r>
              <w:t>提供</w:t>
            </w:r>
            <w:r>
              <w:rPr>
                <w:rFonts w:hint="eastAsia"/>
              </w:rPr>
              <w:t>多个</w:t>
            </w:r>
            <w:r>
              <w:t>角度支撑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16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</w:pPr>
            <w:r>
              <w:t>操作系统</w:t>
            </w:r>
          </w:p>
        </w:tc>
        <w:tc>
          <w:tcPr>
            <w:tcW w:w="378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出厂预装</w:t>
            </w:r>
            <w:r>
              <w:t>正版</w:t>
            </w:r>
            <w:r>
              <w:rPr>
                <w:rFonts w:hint="eastAsia"/>
              </w:rPr>
              <w:t>Windows 10 专业版或 Windows 11 专业版</w:t>
            </w:r>
          </w:p>
        </w:tc>
      </w:tr>
    </w:tbl>
    <w:p/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项目工期</w:t>
      </w:r>
    </w:p>
    <w:p>
      <w:pPr>
        <w:pStyle w:val="68"/>
        <w:numPr>
          <w:ilvl w:val="0"/>
          <w:numId w:val="4"/>
        </w:numPr>
        <w:tabs>
          <w:tab w:val="left" w:pos="360"/>
          <w:tab w:val="left" w:pos="420"/>
          <w:tab w:val="left" w:pos="780"/>
        </w:tabs>
        <w:spacing w:before="156" w:beforeLines="50" w:line="360" w:lineRule="auto"/>
        <w:ind w:firstLineChars="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自合同签订日起，须在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个工作日内对《用户需求说明书》进行补充、确认或提出意见。</w:t>
      </w:r>
    </w:p>
    <w:p>
      <w:pPr>
        <w:pStyle w:val="68"/>
        <w:numPr>
          <w:ilvl w:val="0"/>
          <w:numId w:val="4"/>
        </w:numPr>
        <w:tabs>
          <w:tab w:val="left" w:pos="360"/>
          <w:tab w:val="left" w:pos="780"/>
        </w:tabs>
        <w:spacing w:before="156" w:beforeLines="50" w:line="360" w:lineRule="auto"/>
        <w:ind w:firstLineChars="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对《用户需求说明书》提出意见后，院方组织进行用户需求调研，根据调研情况提供业务调研记录、现况分析、功能设计及说明，双方共同整理并在</w:t>
      </w:r>
      <w:r>
        <w:rPr>
          <w:rFonts w:ascii="宋体" w:hAnsi="宋体" w:cs="宋体"/>
          <w:szCs w:val="21"/>
          <w:u w:val="single"/>
        </w:rPr>
        <w:t>22</w:t>
      </w:r>
      <w:r>
        <w:rPr>
          <w:rFonts w:hint="eastAsia" w:ascii="宋体" w:hAnsi="宋体" w:cs="宋体"/>
          <w:szCs w:val="21"/>
        </w:rPr>
        <w:t>个工作日内确认《需求规格说明书》。</w:t>
      </w:r>
    </w:p>
    <w:p>
      <w:pPr>
        <w:numPr>
          <w:ilvl w:val="0"/>
          <w:numId w:val="4"/>
        </w:numPr>
        <w:tabs>
          <w:tab w:val="left" w:pos="360"/>
          <w:tab w:val="left" w:pos="780"/>
        </w:tabs>
        <w:spacing w:before="156" w:beforeLines="50" w:line="360" w:lineRule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须在《需求规格说明书》确认后的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个</w:t>
      </w:r>
      <w:r>
        <w:rPr>
          <w:rFonts w:ascii="宋体" w:hAnsi="宋体" w:cs="宋体"/>
          <w:szCs w:val="21"/>
        </w:rPr>
        <w:t>月内</w:t>
      </w:r>
      <w:r>
        <w:rPr>
          <w:rFonts w:hint="eastAsia" w:ascii="宋体" w:hAnsi="宋体" w:cs="宋体"/>
          <w:szCs w:val="21"/>
        </w:rPr>
        <w:t>完成实施导入和保证系统正常工作。</w:t>
      </w:r>
    </w:p>
    <w:p>
      <w:pPr>
        <w:numPr>
          <w:ilvl w:val="0"/>
          <w:numId w:val="4"/>
        </w:numPr>
        <w:tabs>
          <w:tab w:val="left" w:pos="360"/>
          <w:tab w:val="left" w:pos="780"/>
        </w:tabs>
        <w:spacing w:before="156" w:beforeLines="50" w:line="360" w:lineRule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完成软件实施，并根据院方提出的新需求完成修改后，系统运行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个月以上无软件故障出现，则向院方申请验收。</w:t>
      </w:r>
    </w:p>
    <w:p>
      <w:pPr>
        <w:pStyle w:val="2"/>
        <w:numPr>
          <w:ilvl w:val="0"/>
          <w:numId w:val="5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集成技术及实施</w:t>
      </w:r>
      <w:r>
        <w:rPr>
          <w:rFonts w:ascii="宋体" w:hAnsi="宋体"/>
          <w:sz w:val="32"/>
          <w:szCs w:val="32"/>
        </w:rPr>
        <w:t>服务要求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项目实施</w:t>
      </w:r>
      <w:r>
        <w:rPr>
          <w:rFonts w:ascii="宋体" w:hAnsi="宋体" w:cs="宋体"/>
          <w:szCs w:val="21"/>
        </w:rPr>
        <w:t>期</w:t>
      </w:r>
      <w:r>
        <w:rPr>
          <w:rFonts w:hint="eastAsia" w:ascii="宋体" w:hAnsi="宋体" w:cs="宋体"/>
          <w:szCs w:val="21"/>
        </w:rPr>
        <w:t>内承建商提供专职工程师负责</w:t>
      </w:r>
      <w:r>
        <w:rPr>
          <w:rFonts w:ascii="宋体" w:hAnsi="宋体" w:cs="宋体"/>
          <w:szCs w:val="21"/>
        </w:rPr>
        <w:t>本项目实施</w:t>
      </w:r>
      <w:r>
        <w:rPr>
          <w:rFonts w:hint="eastAsia" w:ascii="宋体" w:hAnsi="宋体" w:cs="宋体"/>
          <w:szCs w:val="21"/>
        </w:rPr>
        <w:t>，工作时间与院方工作时间一致，并且提供7*24小时响应服务。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项目承建商需根据院方的详细需求，提交项目系统培训实施方案，方案得到院方确认后实施，保证系统按时、正常地投入运行。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承建商应为院方进行培训，包括使用培训和维护培训。承建商应提出详细的培训计划，提供培训教材。技术培训的内容必须覆盖产品的日常操作和管理维护，以及基本的故障诊断与排错。包括系统配置培训、用户培训，并保证培训效果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验收由承建商给出具体的验收计划、测试的内容和方法，经院方审核通过后，方可进行验收工作。</w:t>
      </w:r>
    </w:p>
    <w:p>
      <w:pPr>
        <w:pStyle w:val="2"/>
        <w:numPr>
          <w:ilvl w:val="0"/>
          <w:numId w:val="5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后续维护服务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本项目软件维护期从软件验收合格之日算起，期限为</w:t>
      </w:r>
      <w:r>
        <w:rPr>
          <w:rFonts w:ascii="宋体" w:hAnsi="宋体" w:cs="宋体"/>
          <w:szCs w:val="21"/>
          <w:u w:val="single"/>
        </w:rPr>
        <w:t>36</w:t>
      </w:r>
      <w:r>
        <w:rPr>
          <w:rFonts w:hint="eastAsia" w:ascii="宋体" w:hAnsi="宋体" w:cs="宋体"/>
          <w:szCs w:val="21"/>
        </w:rPr>
        <w:t>个月，</w:t>
      </w:r>
      <w:r>
        <w:rPr>
          <w:rFonts w:ascii="宋体" w:hAnsi="宋体" w:cs="宋体"/>
          <w:szCs w:val="21"/>
        </w:rPr>
        <w:t>硬件维护期从硬件验收合格之日算起，期限为</w:t>
      </w:r>
      <w:r>
        <w:rPr>
          <w:rFonts w:hint="eastAsia" w:ascii="宋体" w:hAnsi="宋体" w:cs="宋体"/>
          <w:szCs w:val="21"/>
          <w:u w:val="single"/>
        </w:rPr>
        <w:t>24</w:t>
      </w:r>
      <w:r>
        <w:rPr>
          <w:rFonts w:hint="eastAsia" w:ascii="宋体" w:hAnsi="宋体" w:cs="宋体"/>
          <w:szCs w:val="21"/>
        </w:rPr>
        <w:t>个</w:t>
      </w:r>
      <w:r>
        <w:rPr>
          <w:rFonts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</w:rPr>
        <w:t>。在维护期内，承建商提供技术支持和指导，以及功能的局部改进完善、故障情况下的现场问题解决。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维保期内承建商为院方提供专职技术人员进行维护服务，工作时间与院方工作时间一致，并且提供7*24小时响应服务。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在维护期结束前，须由承建商和院方进行一次全面检查，任何缺陷必须由承建商负责修复，在修复之后，承建商应将缺陷原因、修复内容、完成修理及恢复正常的时间和日期等报告给院方，形成项目总结报告。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超过维护期的，双方另行协商签订维护合同，其中软件</w:t>
      </w:r>
      <w:r>
        <w:rPr>
          <w:rFonts w:ascii="宋体" w:hAnsi="宋体" w:cs="宋体"/>
          <w:szCs w:val="21"/>
        </w:rPr>
        <w:t>部分</w:t>
      </w:r>
      <w:r>
        <w:rPr>
          <w:rFonts w:hint="eastAsia" w:ascii="宋体" w:hAnsi="宋体" w:cs="宋体"/>
          <w:szCs w:val="21"/>
        </w:rPr>
        <w:t>年维护费不超过合同软件部分金额的8%，</w:t>
      </w:r>
      <w:r>
        <w:rPr>
          <w:rFonts w:ascii="宋体" w:hAnsi="宋体" w:cs="宋体"/>
          <w:szCs w:val="21"/>
        </w:rPr>
        <w:t>硬件</w:t>
      </w:r>
      <w:r>
        <w:rPr>
          <w:rFonts w:hint="eastAsia" w:ascii="宋体" w:hAnsi="宋体" w:cs="宋体"/>
          <w:szCs w:val="21"/>
        </w:rPr>
        <w:t>部分年</w:t>
      </w:r>
      <w:r>
        <w:rPr>
          <w:rFonts w:ascii="宋体" w:hAnsi="宋体" w:cs="宋体"/>
          <w:szCs w:val="21"/>
        </w:rPr>
        <w:t>维护费不超过合同硬件部分的</w:t>
      </w:r>
      <w:r>
        <w:rPr>
          <w:rFonts w:hint="eastAsia" w:ascii="宋体" w:hAnsi="宋体" w:cs="宋体"/>
          <w:szCs w:val="21"/>
        </w:rPr>
        <w:t>5</w:t>
      </w:r>
      <w:r>
        <w:rPr>
          <w:rFonts w:ascii="宋体" w:hAnsi="宋体" w:cs="宋体"/>
          <w:szCs w:val="21"/>
        </w:rPr>
        <w:t>%。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/>
        </w:rPr>
      </w:pPr>
    </w:p>
    <w:p>
      <w:pPr>
        <w:pStyle w:val="2"/>
        <w:numPr>
          <w:ilvl w:val="0"/>
          <w:numId w:val="5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合同款支付方式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（一）合同签订后，在收到承建商开具相应金额正式发票后，支付合同总金额的30%。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（二）硬件</w:t>
      </w:r>
      <w:r>
        <w:rPr>
          <w:rFonts w:ascii="宋体" w:hAnsi="宋体" w:cs="宋体"/>
          <w:szCs w:val="21"/>
        </w:rPr>
        <w:t>验收</w:t>
      </w:r>
      <w:r>
        <w:rPr>
          <w:rFonts w:hint="eastAsia" w:ascii="宋体" w:hAnsi="宋体" w:cs="宋体"/>
          <w:szCs w:val="21"/>
        </w:rPr>
        <w:t>通过后，在收到承建商开具相应金额正式发票及</w:t>
      </w:r>
      <w:r>
        <w:rPr>
          <w:rFonts w:ascii="宋体" w:hAnsi="宋体" w:cs="宋体"/>
          <w:szCs w:val="21"/>
        </w:rPr>
        <w:t>公司承诺函</w:t>
      </w:r>
      <w:r>
        <w:rPr>
          <w:rFonts w:hint="eastAsia" w:ascii="宋体" w:hAnsi="宋体" w:cs="宋体"/>
          <w:szCs w:val="21"/>
        </w:rPr>
        <w:t>后，支付至合同硬件部分结算</w:t>
      </w:r>
      <w:r>
        <w:rPr>
          <w:rFonts w:ascii="宋体" w:hAnsi="宋体" w:cs="宋体"/>
          <w:szCs w:val="21"/>
        </w:rPr>
        <w:t>审核</w:t>
      </w:r>
      <w:r>
        <w:rPr>
          <w:rFonts w:hint="eastAsia" w:ascii="宋体" w:hAnsi="宋体" w:cs="宋体"/>
          <w:szCs w:val="21"/>
        </w:rPr>
        <w:t>价的</w:t>
      </w:r>
      <w:r>
        <w:rPr>
          <w:rFonts w:ascii="宋体" w:hAnsi="宋体" w:cs="宋体"/>
          <w:szCs w:val="21"/>
        </w:rPr>
        <w:t>100</w:t>
      </w:r>
      <w:r>
        <w:rPr>
          <w:rFonts w:hint="eastAsia" w:ascii="宋体" w:hAnsi="宋体" w:cs="宋体"/>
          <w:szCs w:val="21"/>
        </w:rPr>
        <w:t>%。</w:t>
      </w:r>
    </w:p>
    <w:p>
      <w:pPr>
        <w:spacing w:line="360" w:lineRule="auto"/>
        <w:ind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(三)软件验收通过后，在收到承建商开具相应金额正式发票及</w:t>
      </w:r>
      <w:r>
        <w:rPr>
          <w:rFonts w:ascii="宋体" w:hAnsi="宋体" w:cs="宋体"/>
          <w:szCs w:val="21"/>
        </w:rPr>
        <w:t>公司承诺函</w:t>
      </w:r>
      <w:r>
        <w:rPr>
          <w:rFonts w:hint="eastAsia" w:ascii="宋体" w:hAnsi="宋体" w:cs="宋体"/>
          <w:szCs w:val="21"/>
        </w:rPr>
        <w:t>后，支付合同软件</w:t>
      </w:r>
      <w:r>
        <w:rPr>
          <w:rFonts w:ascii="宋体" w:hAnsi="宋体" w:cs="宋体"/>
          <w:szCs w:val="21"/>
        </w:rPr>
        <w:t>部分</w:t>
      </w:r>
      <w:r>
        <w:rPr>
          <w:rFonts w:hint="eastAsia" w:ascii="宋体" w:hAnsi="宋体" w:cs="宋体"/>
          <w:szCs w:val="21"/>
        </w:rPr>
        <w:t>金额的</w:t>
      </w:r>
      <w:r>
        <w:rPr>
          <w:rFonts w:ascii="宋体" w:hAnsi="宋体" w:cs="宋体"/>
          <w:szCs w:val="21"/>
        </w:rPr>
        <w:t>70</w:t>
      </w:r>
      <w:r>
        <w:rPr>
          <w:rFonts w:hint="eastAsia" w:ascii="宋体" w:hAnsi="宋体" w:cs="宋体"/>
          <w:szCs w:val="21"/>
        </w:rPr>
        <w:t>%。</w:t>
      </w:r>
    </w:p>
    <w:p>
      <w:pPr>
        <w:tabs>
          <w:tab w:val="left" w:pos="0"/>
          <w:tab w:val="left" w:pos="210"/>
        </w:tabs>
        <w:spacing w:line="360" w:lineRule="auto"/>
        <w:rPr>
          <w:rFonts w:ascii="宋体" w:hAnsi="宋体" w:cs="宋体"/>
          <w:szCs w:val="21"/>
        </w:rPr>
      </w:pPr>
    </w:p>
    <w:sectPr>
      <w:footerReference r:id="rId3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PAGE   \* MERGEFORMAT</w:instrText>
    </w:r>
    <w:r>
      <w:rPr>
        <w:caps/>
        <w:color w:val="5B9BD5"/>
      </w:rPr>
      <w:fldChar w:fldCharType="separate"/>
    </w:r>
    <w:r>
      <w:rPr>
        <w:caps/>
        <w:color w:val="5B9BD5"/>
        <w:lang w:val="zh-CN"/>
      </w:rPr>
      <w:t>4</w:t>
    </w:r>
    <w:r>
      <w:rPr>
        <w:caps/>
        <w:color w:val="5B9BD5"/>
      </w:rPr>
      <w:fldChar w:fldCharType="end"/>
    </w:r>
  </w:p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E00CE8"/>
    <w:multiLevelType w:val="multilevel"/>
    <w:tmpl w:val="1BE00C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015205"/>
    <w:multiLevelType w:val="multilevel"/>
    <w:tmpl w:val="29015205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5.1.1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5.1.1.1.%5"/>
      <w:lvlJc w:val="left"/>
      <w:pPr>
        <w:ind w:left="2142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3EBB3C91"/>
    <w:multiLevelType w:val="multilevel"/>
    <w:tmpl w:val="3EBB3C91"/>
    <w:lvl w:ilvl="0" w:tentative="0">
      <w:start w:val="1"/>
      <w:numFmt w:val="decimal"/>
      <w:pStyle w:val="60"/>
      <w:lvlText w:val="%1. "/>
      <w:lvlJc w:val="left"/>
      <w:pPr>
        <w:ind w:left="420" w:hanging="420"/>
      </w:pPr>
      <w:rPr>
        <w:rFonts w:hint="default" w:ascii="Times New Roman" w:hAnsi="Times New Roman" w:eastAsia="宋体"/>
        <w:b/>
        <w:i w:val="0"/>
      </w:rPr>
    </w:lvl>
    <w:lvl w:ilvl="1" w:tentative="0">
      <w:start w:val="1"/>
      <w:numFmt w:val="decimal"/>
      <w:pStyle w:val="53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 w:tentative="0">
      <w:start w:val="1"/>
      <w:numFmt w:val="decimal"/>
      <w:pStyle w:val="59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58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63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57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52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62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>
    <w:nsid w:val="424A4138"/>
    <w:multiLevelType w:val="multilevel"/>
    <w:tmpl w:val="424A4138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708160F3"/>
    <w:multiLevelType w:val="multilevel"/>
    <w:tmpl w:val="708160F3"/>
    <w:lvl w:ilvl="0" w:tentative="0">
      <w:start w:val="5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MzVmOGE3ZTMxMTFlNjU0NGE1OTQ0OTA2ZjlmZTQifQ=="/>
  </w:docVars>
  <w:rsids>
    <w:rsidRoot w:val="00303343"/>
    <w:rsid w:val="0000266A"/>
    <w:rsid w:val="000027C8"/>
    <w:rsid w:val="000051D2"/>
    <w:rsid w:val="000079DD"/>
    <w:rsid w:val="00007C52"/>
    <w:rsid w:val="00012DCC"/>
    <w:rsid w:val="00016B63"/>
    <w:rsid w:val="00022CAE"/>
    <w:rsid w:val="0002505B"/>
    <w:rsid w:val="00025159"/>
    <w:rsid w:val="00035521"/>
    <w:rsid w:val="00036BE9"/>
    <w:rsid w:val="0004334E"/>
    <w:rsid w:val="00046B39"/>
    <w:rsid w:val="00053923"/>
    <w:rsid w:val="00054706"/>
    <w:rsid w:val="000560C3"/>
    <w:rsid w:val="00066DE7"/>
    <w:rsid w:val="0006701F"/>
    <w:rsid w:val="0007129C"/>
    <w:rsid w:val="00074EDD"/>
    <w:rsid w:val="00086AE0"/>
    <w:rsid w:val="00090A18"/>
    <w:rsid w:val="000A02E2"/>
    <w:rsid w:val="000A293D"/>
    <w:rsid w:val="000B41B7"/>
    <w:rsid w:val="000C1DAE"/>
    <w:rsid w:val="000D3536"/>
    <w:rsid w:val="000D5317"/>
    <w:rsid w:val="000E1241"/>
    <w:rsid w:val="000E276C"/>
    <w:rsid w:val="000F0424"/>
    <w:rsid w:val="000F0A3C"/>
    <w:rsid w:val="000F3A19"/>
    <w:rsid w:val="00106D68"/>
    <w:rsid w:val="00107C1B"/>
    <w:rsid w:val="001106CE"/>
    <w:rsid w:val="001107F8"/>
    <w:rsid w:val="001116F6"/>
    <w:rsid w:val="0012100A"/>
    <w:rsid w:val="00121E40"/>
    <w:rsid w:val="0012322D"/>
    <w:rsid w:val="00123FCC"/>
    <w:rsid w:val="001270AB"/>
    <w:rsid w:val="00135BF9"/>
    <w:rsid w:val="001365DD"/>
    <w:rsid w:val="00136606"/>
    <w:rsid w:val="00140E0C"/>
    <w:rsid w:val="0014437A"/>
    <w:rsid w:val="00153AB3"/>
    <w:rsid w:val="00162D29"/>
    <w:rsid w:val="001642E6"/>
    <w:rsid w:val="00164878"/>
    <w:rsid w:val="00165091"/>
    <w:rsid w:val="00170615"/>
    <w:rsid w:val="00171903"/>
    <w:rsid w:val="00174CEE"/>
    <w:rsid w:val="001750FC"/>
    <w:rsid w:val="00177F84"/>
    <w:rsid w:val="0018200C"/>
    <w:rsid w:val="001833B6"/>
    <w:rsid w:val="00190CD2"/>
    <w:rsid w:val="00193242"/>
    <w:rsid w:val="00197D30"/>
    <w:rsid w:val="001A22A1"/>
    <w:rsid w:val="001B4850"/>
    <w:rsid w:val="001B4EA3"/>
    <w:rsid w:val="001B7966"/>
    <w:rsid w:val="001B7A16"/>
    <w:rsid w:val="001B7D79"/>
    <w:rsid w:val="001C23B3"/>
    <w:rsid w:val="001C4A9D"/>
    <w:rsid w:val="001C7BC6"/>
    <w:rsid w:val="001D1097"/>
    <w:rsid w:val="001D4434"/>
    <w:rsid w:val="001D5133"/>
    <w:rsid w:val="001D7749"/>
    <w:rsid w:val="001E3B38"/>
    <w:rsid w:val="00200054"/>
    <w:rsid w:val="002000DE"/>
    <w:rsid w:val="00202EFF"/>
    <w:rsid w:val="00202FEA"/>
    <w:rsid w:val="0020509F"/>
    <w:rsid w:val="00207A57"/>
    <w:rsid w:val="00207A96"/>
    <w:rsid w:val="00214A6F"/>
    <w:rsid w:val="00221F1F"/>
    <w:rsid w:val="0022265F"/>
    <w:rsid w:val="00223E47"/>
    <w:rsid w:val="00232783"/>
    <w:rsid w:val="00241D77"/>
    <w:rsid w:val="00244B53"/>
    <w:rsid w:val="00247E9D"/>
    <w:rsid w:val="002509F5"/>
    <w:rsid w:val="002535AA"/>
    <w:rsid w:val="00261CBC"/>
    <w:rsid w:val="00265DE7"/>
    <w:rsid w:val="00270260"/>
    <w:rsid w:val="00271877"/>
    <w:rsid w:val="002722CA"/>
    <w:rsid w:val="002834D3"/>
    <w:rsid w:val="0028464E"/>
    <w:rsid w:val="002853BF"/>
    <w:rsid w:val="00292528"/>
    <w:rsid w:val="002A01D6"/>
    <w:rsid w:val="002A4778"/>
    <w:rsid w:val="002A7E18"/>
    <w:rsid w:val="002B1C8D"/>
    <w:rsid w:val="002C53D1"/>
    <w:rsid w:val="002D189F"/>
    <w:rsid w:val="002D6BE1"/>
    <w:rsid w:val="002F1E95"/>
    <w:rsid w:val="002F31F1"/>
    <w:rsid w:val="003024F8"/>
    <w:rsid w:val="00303343"/>
    <w:rsid w:val="00303CAB"/>
    <w:rsid w:val="003042A2"/>
    <w:rsid w:val="00304636"/>
    <w:rsid w:val="00305C35"/>
    <w:rsid w:val="00311322"/>
    <w:rsid w:val="00314481"/>
    <w:rsid w:val="00314A5A"/>
    <w:rsid w:val="00322973"/>
    <w:rsid w:val="003325F0"/>
    <w:rsid w:val="00341038"/>
    <w:rsid w:val="003436F7"/>
    <w:rsid w:val="00352E7C"/>
    <w:rsid w:val="00353276"/>
    <w:rsid w:val="003552BD"/>
    <w:rsid w:val="00366980"/>
    <w:rsid w:val="00367598"/>
    <w:rsid w:val="00370126"/>
    <w:rsid w:val="00374C23"/>
    <w:rsid w:val="003755D1"/>
    <w:rsid w:val="003802E2"/>
    <w:rsid w:val="00382774"/>
    <w:rsid w:val="00383A75"/>
    <w:rsid w:val="00385E95"/>
    <w:rsid w:val="00385FED"/>
    <w:rsid w:val="00393B3A"/>
    <w:rsid w:val="00397B7E"/>
    <w:rsid w:val="003A69BF"/>
    <w:rsid w:val="003A7269"/>
    <w:rsid w:val="003C0FB7"/>
    <w:rsid w:val="003C4E09"/>
    <w:rsid w:val="003C6D81"/>
    <w:rsid w:val="003D0F80"/>
    <w:rsid w:val="003D2595"/>
    <w:rsid w:val="003E7083"/>
    <w:rsid w:val="003F3503"/>
    <w:rsid w:val="003F629F"/>
    <w:rsid w:val="00403938"/>
    <w:rsid w:val="00413DA3"/>
    <w:rsid w:val="00414171"/>
    <w:rsid w:val="00414CE5"/>
    <w:rsid w:val="00416A0B"/>
    <w:rsid w:val="00416A9F"/>
    <w:rsid w:val="0041787F"/>
    <w:rsid w:val="00423450"/>
    <w:rsid w:val="00426845"/>
    <w:rsid w:val="00426FA2"/>
    <w:rsid w:val="0042702D"/>
    <w:rsid w:val="00435C81"/>
    <w:rsid w:val="00440559"/>
    <w:rsid w:val="00440F72"/>
    <w:rsid w:val="00450966"/>
    <w:rsid w:val="004565AA"/>
    <w:rsid w:val="00456A2C"/>
    <w:rsid w:val="004573AE"/>
    <w:rsid w:val="004630DC"/>
    <w:rsid w:val="0046635F"/>
    <w:rsid w:val="00467554"/>
    <w:rsid w:val="00474AE0"/>
    <w:rsid w:val="0047796F"/>
    <w:rsid w:val="00482931"/>
    <w:rsid w:val="00495574"/>
    <w:rsid w:val="00497384"/>
    <w:rsid w:val="004A072B"/>
    <w:rsid w:val="004A44FF"/>
    <w:rsid w:val="004B156C"/>
    <w:rsid w:val="004B5BCA"/>
    <w:rsid w:val="004C2C5B"/>
    <w:rsid w:val="004C36D0"/>
    <w:rsid w:val="004D09A3"/>
    <w:rsid w:val="004D3CB6"/>
    <w:rsid w:val="004E2D8F"/>
    <w:rsid w:val="004E5E61"/>
    <w:rsid w:val="004F1410"/>
    <w:rsid w:val="004F7A05"/>
    <w:rsid w:val="00500264"/>
    <w:rsid w:val="005023D4"/>
    <w:rsid w:val="005037FD"/>
    <w:rsid w:val="00507320"/>
    <w:rsid w:val="00510B1E"/>
    <w:rsid w:val="005120A9"/>
    <w:rsid w:val="00512A19"/>
    <w:rsid w:val="0051304D"/>
    <w:rsid w:val="00517D7C"/>
    <w:rsid w:val="00520646"/>
    <w:rsid w:val="0052176F"/>
    <w:rsid w:val="0052604B"/>
    <w:rsid w:val="0053088D"/>
    <w:rsid w:val="005338EE"/>
    <w:rsid w:val="00534BF6"/>
    <w:rsid w:val="00537CDE"/>
    <w:rsid w:val="005409FC"/>
    <w:rsid w:val="00542D48"/>
    <w:rsid w:val="005563D3"/>
    <w:rsid w:val="00557712"/>
    <w:rsid w:val="00575F76"/>
    <w:rsid w:val="005766CE"/>
    <w:rsid w:val="005773F2"/>
    <w:rsid w:val="00580F0E"/>
    <w:rsid w:val="00581B53"/>
    <w:rsid w:val="0058347C"/>
    <w:rsid w:val="005848B7"/>
    <w:rsid w:val="00587265"/>
    <w:rsid w:val="00591388"/>
    <w:rsid w:val="0059358B"/>
    <w:rsid w:val="00593C63"/>
    <w:rsid w:val="00593D77"/>
    <w:rsid w:val="005944F9"/>
    <w:rsid w:val="00596428"/>
    <w:rsid w:val="00596CC5"/>
    <w:rsid w:val="005A13C1"/>
    <w:rsid w:val="005A49BD"/>
    <w:rsid w:val="005A4D1C"/>
    <w:rsid w:val="005A5DD3"/>
    <w:rsid w:val="005B046D"/>
    <w:rsid w:val="005B33AE"/>
    <w:rsid w:val="005B4BC4"/>
    <w:rsid w:val="005C029C"/>
    <w:rsid w:val="005C49D7"/>
    <w:rsid w:val="005C60FB"/>
    <w:rsid w:val="005C6FB2"/>
    <w:rsid w:val="005C7538"/>
    <w:rsid w:val="005C7EF5"/>
    <w:rsid w:val="005D1C7F"/>
    <w:rsid w:val="005D2402"/>
    <w:rsid w:val="005D2BF6"/>
    <w:rsid w:val="005E2D44"/>
    <w:rsid w:val="005E7C53"/>
    <w:rsid w:val="005F0356"/>
    <w:rsid w:val="005F2E28"/>
    <w:rsid w:val="005F3DC1"/>
    <w:rsid w:val="005F4594"/>
    <w:rsid w:val="005F73BC"/>
    <w:rsid w:val="005F7E95"/>
    <w:rsid w:val="00600923"/>
    <w:rsid w:val="00600E20"/>
    <w:rsid w:val="006053FC"/>
    <w:rsid w:val="006054C4"/>
    <w:rsid w:val="00612F3F"/>
    <w:rsid w:val="00623637"/>
    <w:rsid w:val="006279C6"/>
    <w:rsid w:val="0063460B"/>
    <w:rsid w:val="00644F1D"/>
    <w:rsid w:val="00646B59"/>
    <w:rsid w:val="006604C2"/>
    <w:rsid w:val="00673A21"/>
    <w:rsid w:val="006855CF"/>
    <w:rsid w:val="006861F5"/>
    <w:rsid w:val="00690120"/>
    <w:rsid w:val="00693332"/>
    <w:rsid w:val="00697FBB"/>
    <w:rsid w:val="006A5D14"/>
    <w:rsid w:val="006B2085"/>
    <w:rsid w:val="006B21B8"/>
    <w:rsid w:val="006B7B58"/>
    <w:rsid w:val="006C36EB"/>
    <w:rsid w:val="006D4B15"/>
    <w:rsid w:val="006D59F7"/>
    <w:rsid w:val="006E273E"/>
    <w:rsid w:val="006E2CB6"/>
    <w:rsid w:val="006E5E07"/>
    <w:rsid w:val="006F0434"/>
    <w:rsid w:val="006F1CC7"/>
    <w:rsid w:val="00701D12"/>
    <w:rsid w:val="0070239F"/>
    <w:rsid w:val="00704113"/>
    <w:rsid w:val="0071487E"/>
    <w:rsid w:val="00722033"/>
    <w:rsid w:val="0072309C"/>
    <w:rsid w:val="0072695B"/>
    <w:rsid w:val="00726A65"/>
    <w:rsid w:val="00731884"/>
    <w:rsid w:val="00733834"/>
    <w:rsid w:val="0074224C"/>
    <w:rsid w:val="0074539E"/>
    <w:rsid w:val="00750A70"/>
    <w:rsid w:val="00751F4C"/>
    <w:rsid w:val="00752912"/>
    <w:rsid w:val="00754E86"/>
    <w:rsid w:val="007556BE"/>
    <w:rsid w:val="00760965"/>
    <w:rsid w:val="007621CC"/>
    <w:rsid w:val="007643E3"/>
    <w:rsid w:val="0076668A"/>
    <w:rsid w:val="007825DD"/>
    <w:rsid w:val="00784C08"/>
    <w:rsid w:val="00785EDF"/>
    <w:rsid w:val="00786A29"/>
    <w:rsid w:val="00792044"/>
    <w:rsid w:val="007925FD"/>
    <w:rsid w:val="00795F59"/>
    <w:rsid w:val="00797BF9"/>
    <w:rsid w:val="00797C0F"/>
    <w:rsid w:val="007A0FEF"/>
    <w:rsid w:val="007A678F"/>
    <w:rsid w:val="007B1F72"/>
    <w:rsid w:val="007B38C6"/>
    <w:rsid w:val="007C0A5B"/>
    <w:rsid w:val="007C205A"/>
    <w:rsid w:val="007D22AB"/>
    <w:rsid w:val="007D5C07"/>
    <w:rsid w:val="007E71E6"/>
    <w:rsid w:val="007F5726"/>
    <w:rsid w:val="007F68E3"/>
    <w:rsid w:val="008067E0"/>
    <w:rsid w:val="00813E54"/>
    <w:rsid w:val="008168FB"/>
    <w:rsid w:val="00822BA6"/>
    <w:rsid w:val="00826619"/>
    <w:rsid w:val="00830F92"/>
    <w:rsid w:val="008419E9"/>
    <w:rsid w:val="008548FB"/>
    <w:rsid w:val="008623FD"/>
    <w:rsid w:val="00866774"/>
    <w:rsid w:val="00873B97"/>
    <w:rsid w:val="00897B24"/>
    <w:rsid w:val="008A0183"/>
    <w:rsid w:val="008A3D6D"/>
    <w:rsid w:val="008A5EE9"/>
    <w:rsid w:val="008A62AC"/>
    <w:rsid w:val="008A776A"/>
    <w:rsid w:val="008B2206"/>
    <w:rsid w:val="008C255D"/>
    <w:rsid w:val="008D3291"/>
    <w:rsid w:val="008D4FBF"/>
    <w:rsid w:val="008D59AA"/>
    <w:rsid w:val="008E145D"/>
    <w:rsid w:val="008E25F5"/>
    <w:rsid w:val="008E2B56"/>
    <w:rsid w:val="008F0F4C"/>
    <w:rsid w:val="00900232"/>
    <w:rsid w:val="00900BAA"/>
    <w:rsid w:val="00903734"/>
    <w:rsid w:val="00903878"/>
    <w:rsid w:val="00903CF6"/>
    <w:rsid w:val="009048B8"/>
    <w:rsid w:val="00904CF6"/>
    <w:rsid w:val="009052C7"/>
    <w:rsid w:val="00905FFA"/>
    <w:rsid w:val="00912D2B"/>
    <w:rsid w:val="0092017A"/>
    <w:rsid w:val="00922032"/>
    <w:rsid w:val="0092575F"/>
    <w:rsid w:val="00925C23"/>
    <w:rsid w:val="00927E08"/>
    <w:rsid w:val="00930180"/>
    <w:rsid w:val="009303FA"/>
    <w:rsid w:val="00934753"/>
    <w:rsid w:val="00943004"/>
    <w:rsid w:val="00943F8C"/>
    <w:rsid w:val="00947FA5"/>
    <w:rsid w:val="00955763"/>
    <w:rsid w:val="00963275"/>
    <w:rsid w:val="00966A88"/>
    <w:rsid w:val="00970AE9"/>
    <w:rsid w:val="00972829"/>
    <w:rsid w:val="00973A47"/>
    <w:rsid w:val="009749F4"/>
    <w:rsid w:val="00981ED8"/>
    <w:rsid w:val="00982AA3"/>
    <w:rsid w:val="009863EF"/>
    <w:rsid w:val="00986A41"/>
    <w:rsid w:val="0098719A"/>
    <w:rsid w:val="00991FF2"/>
    <w:rsid w:val="0099315B"/>
    <w:rsid w:val="00995DD9"/>
    <w:rsid w:val="009B5475"/>
    <w:rsid w:val="009C1F02"/>
    <w:rsid w:val="009C3783"/>
    <w:rsid w:val="009C4E7E"/>
    <w:rsid w:val="009D3B0A"/>
    <w:rsid w:val="009D5606"/>
    <w:rsid w:val="009D6951"/>
    <w:rsid w:val="009D7DD1"/>
    <w:rsid w:val="009E0351"/>
    <w:rsid w:val="009E214B"/>
    <w:rsid w:val="009E3262"/>
    <w:rsid w:val="009E53AF"/>
    <w:rsid w:val="009F0270"/>
    <w:rsid w:val="009F18F7"/>
    <w:rsid w:val="009F1B3E"/>
    <w:rsid w:val="009F61FA"/>
    <w:rsid w:val="00A05796"/>
    <w:rsid w:val="00A13CB0"/>
    <w:rsid w:val="00A14FD8"/>
    <w:rsid w:val="00A16A34"/>
    <w:rsid w:val="00A22CA1"/>
    <w:rsid w:val="00A370A4"/>
    <w:rsid w:val="00A4595D"/>
    <w:rsid w:val="00A51146"/>
    <w:rsid w:val="00A61D3A"/>
    <w:rsid w:val="00A627F3"/>
    <w:rsid w:val="00A6645A"/>
    <w:rsid w:val="00A66833"/>
    <w:rsid w:val="00A70DCF"/>
    <w:rsid w:val="00A72437"/>
    <w:rsid w:val="00A73FDF"/>
    <w:rsid w:val="00A870DD"/>
    <w:rsid w:val="00A9046A"/>
    <w:rsid w:val="00A931F2"/>
    <w:rsid w:val="00A951AD"/>
    <w:rsid w:val="00A96157"/>
    <w:rsid w:val="00A969AF"/>
    <w:rsid w:val="00A9729E"/>
    <w:rsid w:val="00A976E4"/>
    <w:rsid w:val="00AA05EA"/>
    <w:rsid w:val="00AA1F69"/>
    <w:rsid w:val="00AA28BC"/>
    <w:rsid w:val="00AB348F"/>
    <w:rsid w:val="00AB7D36"/>
    <w:rsid w:val="00AC1390"/>
    <w:rsid w:val="00AC4663"/>
    <w:rsid w:val="00AD112A"/>
    <w:rsid w:val="00AD1862"/>
    <w:rsid w:val="00AE1DD2"/>
    <w:rsid w:val="00AE4106"/>
    <w:rsid w:val="00AE5482"/>
    <w:rsid w:val="00AF11F6"/>
    <w:rsid w:val="00AF1991"/>
    <w:rsid w:val="00AF1C63"/>
    <w:rsid w:val="00AF3DA0"/>
    <w:rsid w:val="00AF69A0"/>
    <w:rsid w:val="00B05BF9"/>
    <w:rsid w:val="00B07FD6"/>
    <w:rsid w:val="00B12138"/>
    <w:rsid w:val="00B1251B"/>
    <w:rsid w:val="00B13B31"/>
    <w:rsid w:val="00B17749"/>
    <w:rsid w:val="00B17AE9"/>
    <w:rsid w:val="00B17C05"/>
    <w:rsid w:val="00B20334"/>
    <w:rsid w:val="00B20819"/>
    <w:rsid w:val="00B225B9"/>
    <w:rsid w:val="00B24AB1"/>
    <w:rsid w:val="00B34510"/>
    <w:rsid w:val="00B36BD9"/>
    <w:rsid w:val="00B41A4C"/>
    <w:rsid w:val="00B41E60"/>
    <w:rsid w:val="00B43095"/>
    <w:rsid w:val="00B446CA"/>
    <w:rsid w:val="00B476C4"/>
    <w:rsid w:val="00B5093C"/>
    <w:rsid w:val="00B532B3"/>
    <w:rsid w:val="00B54356"/>
    <w:rsid w:val="00B55FE5"/>
    <w:rsid w:val="00B62917"/>
    <w:rsid w:val="00B66C1D"/>
    <w:rsid w:val="00B66F93"/>
    <w:rsid w:val="00B74609"/>
    <w:rsid w:val="00B752B2"/>
    <w:rsid w:val="00B80A7C"/>
    <w:rsid w:val="00B80BF9"/>
    <w:rsid w:val="00B80E39"/>
    <w:rsid w:val="00B81410"/>
    <w:rsid w:val="00B824A5"/>
    <w:rsid w:val="00B84056"/>
    <w:rsid w:val="00B8588F"/>
    <w:rsid w:val="00B858F1"/>
    <w:rsid w:val="00B85D69"/>
    <w:rsid w:val="00B8684C"/>
    <w:rsid w:val="00B92A23"/>
    <w:rsid w:val="00BA03A7"/>
    <w:rsid w:val="00BA5A2D"/>
    <w:rsid w:val="00BA5B8F"/>
    <w:rsid w:val="00BB0480"/>
    <w:rsid w:val="00BB2B54"/>
    <w:rsid w:val="00BB62C6"/>
    <w:rsid w:val="00BC2EA4"/>
    <w:rsid w:val="00BC3CA1"/>
    <w:rsid w:val="00BC49E5"/>
    <w:rsid w:val="00BC5B74"/>
    <w:rsid w:val="00BD1650"/>
    <w:rsid w:val="00BD26E2"/>
    <w:rsid w:val="00BD3194"/>
    <w:rsid w:val="00BD5FA8"/>
    <w:rsid w:val="00BE23E5"/>
    <w:rsid w:val="00BE31E6"/>
    <w:rsid w:val="00BE458B"/>
    <w:rsid w:val="00BF757E"/>
    <w:rsid w:val="00BF7C0E"/>
    <w:rsid w:val="00BF7F5A"/>
    <w:rsid w:val="00C017CF"/>
    <w:rsid w:val="00C05D61"/>
    <w:rsid w:val="00C10639"/>
    <w:rsid w:val="00C11C7C"/>
    <w:rsid w:val="00C150B5"/>
    <w:rsid w:val="00C17719"/>
    <w:rsid w:val="00C20D21"/>
    <w:rsid w:val="00C2470A"/>
    <w:rsid w:val="00C335D8"/>
    <w:rsid w:val="00C50E12"/>
    <w:rsid w:val="00C54046"/>
    <w:rsid w:val="00C54491"/>
    <w:rsid w:val="00C5748C"/>
    <w:rsid w:val="00C71B43"/>
    <w:rsid w:val="00C73DFF"/>
    <w:rsid w:val="00C74D8F"/>
    <w:rsid w:val="00C751A9"/>
    <w:rsid w:val="00C766DD"/>
    <w:rsid w:val="00C76BDF"/>
    <w:rsid w:val="00C76F5C"/>
    <w:rsid w:val="00C775CE"/>
    <w:rsid w:val="00C8030E"/>
    <w:rsid w:val="00C84CFD"/>
    <w:rsid w:val="00C91697"/>
    <w:rsid w:val="00C92EAA"/>
    <w:rsid w:val="00C92F9B"/>
    <w:rsid w:val="00C93855"/>
    <w:rsid w:val="00CA148F"/>
    <w:rsid w:val="00CA29F9"/>
    <w:rsid w:val="00CA7EB3"/>
    <w:rsid w:val="00CB0505"/>
    <w:rsid w:val="00CB6B73"/>
    <w:rsid w:val="00CC218D"/>
    <w:rsid w:val="00CC6334"/>
    <w:rsid w:val="00CC677A"/>
    <w:rsid w:val="00CD008E"/>
    <w:rsid w:val="00CD6EDC"/>
    <w:rsid w:val="00CE0241"/>
    <w:rsid w:val="00CE24B9"/>
    <w:rsid w:val="00CE2D1F"/>
    <w:rsid w:val="00CF02A6"/>
    <w:rsid w:val="00CF1561"/>
    <w:rsid w:val="00CF1A40"/>
    <w:rsid w:val="00CF36EF"/>
    <w:rsid w:val="00CF4864"/>
    <w:rsid w:val="00CF4AE2"/>
    <w:rsid w:val="00D01898"/>
    <w:rsid w:val="00D02745"/>
    <w:rsid w:val="00D0405C"/>
    <w:rsid w:val="00D1110F"/>
    <w:rsid w:val="00D15B10"/>
    <w:rsid w:val="00D23E20"/>
    <w:rsid w:val="00D32842"/>
    <w:rsid w:val="00D3491E"/>
    <w:rsid w:val="00D36E64"/>
    <w:rsid w:val="00D4297E"/>
    <w:rsid w:val="00D454AB"/>
    <w:rsid w:val="00D536AB"/>
    <w:rsid w:val="00D54E0C"/>
    <w:rsid w:val="00D5537A"/>
    <w:rsid w:val="00D6147D"/>
    <w:rsid w:val="00D62A54"/>
    <w:rsid w:val="00D71136"/>
    <w:rsid w:val="00D7458E"/>
    <w:rsid w:val="00D77F36"/>
    <w:rsid w:val="00D85B78"/>
    <w:rsid w:val="00D9057D"/>
    <w:rsid w:val="00D92823"/>
    <w:rsid w:val="00D95D24"/>
    <w:rsid w:val="00D96C51"/>
    <w:rsid w:val="00DA026E"/>
    <w:rsid w:val="00DA576E"/>
    <w:rsid w:val="00DB0A86"/>
    <w:rsid w:val="00DB57B7"/>
    <w:rsid w:val="00DC06E4"/>
    <w:rsid w:val="00DC33CF"/>
    <w:rsid w:val="00DC3415"/>
    <w:rsid w:val="00DC341D"/>
    <w:rsid w:val="00DD0BF3"/>
    <w:rsid w:val="00DD25F5"/>
    <w:rsid w:val="00DD35AB"/>
    <w:rsid w:val="00DD3DE6"/>
    <w:rsid w:val="00DD59CF"/>
    <w:rsid w:val="00DE4534"/>
    <w:rsid w:val="00DF3D3A"/>
    <w:rsid w:val="00DF4228"/>
    <w:rsid w:val="00E06670"/>
    <w:rsid w:val="00E10E12"/>
    <w:rsid w:val="00E17363"/>
    <w:rsid w:val="00E2403C"/>
    <w:rsid w:val="00E263B0"/>
    <w:rsid w:val="00E30FFE"/>
    <w:rsid w:val="00E32FD6"/>
    <w:rsid w:val="00E34F46"/>
    <w:rsid w:val="00E47752"/>
    <w:rsid w:val="00E501AB"/>
    <w:rsid w:val="00E53030"/>
    <w:rsid w:val="00E54BEB"/>
    <w:rsid w:val="00E56652"/>
    <w:rsid w:val="00E61624"/>
    <w:rsid w:val="00E62C9E"/>
    <w:rsid w:val="00E63369"/>
    <w:rsid w:val="00E63569"/>
    <w:rsid w:val="00E80756"/>
    <w:rsid w:val="00E81F96"/>
    <w:rsid w:val="00E8302B"/>
    <w:rsid w:val="00E83E34"/>
    <w:rsid w:val="00E84F8C"/>
    <w:rsid w:val="00E85360"/>
    <w:rsid w:val="00E85641"/>
    <w:rsid w:val="00E85DA4"/>
    <w:rsid w:val="00E86B42"/>
    <w:rsid w:val="00E90BB7"/>
    <w:rsid w:val="00E95892"/>
    <w:rsid w:val="00E97354"/>
    <w:rsid w:val="00EA6408"/>
    <w:rsid w:val="00EA66DB"/>
    <w:rsid w:val="00EC02C6"/>
    <w:rsid w:val="00EC0483"/>
    <w:rsid w:val="00EC0D9B"/>
    <w:rsid w:val="00ED0897"/>
    <w:rsid w:val="00ED24BE"/>
    <w:rsid w:val="00ED73FF"/>
    <w:rsid w:val="00ED7F01"/>
    <w:rsid w:val="00EE51DE"/>
    <w:rsid w:val="00EE551A"/>
    <w:rsid w:val="00EF1CA5"/>
    <w:rsid w:val="00EF5E01"/>
    <w:rsid w:val="00EF6675"/>
    <w:rsid w:val="00EF6EC0"/>
    <w:rsid w:val="00F02058"/>
    <w:rsid w:val="00F0343C"/>
    <w:rsid w:val="00F04CE5"/>
    <w:rsid w:val="00F13514"/>
    <w:rsid w:val="00F1360F"/>
    <w:rsid w:val="00F16AA8"/>
    <w:rsid w:val="00F2506E"/>
    <w:rsid w:val="00F3133C"/>
    <w:rsid w:val="00F3226A"/>
    <w:rsid w:val="00F33265"/>
    <w:rsid w:val="00F33DB0"/>
    <w:rsid w:val="00F374D1"/>
    <w:rsid w:val="00F45DB8"/>
    <w:rsid w:val="00F463E7"/>
    <w:rsid w:val="00F54426"/>
    <w:rsid w:val="00F54D29"/>
    <w:rsid w:val="00F60C30"/>
    <w:rsid w:val="00F62BCD"/>
    <w:rsid w:val="00F74B77"/>
    <w:rsid w:val="00F764FE"/>
    <w:rsid w:val="00F802D3"/>
    <w:rsid w:val="00F827B6"/>
    <w:rsid w:val="00F922F2"/>
    <w:rsid w:val="00F92A21"/>
    <w:rsid w:val="00F92BE5"/>
    <w:rsid w:val="00FA0574"/>
    <w:rsid w:val="00FB3282"/>
    <w:rsid w:val="00FB68D3"/>
    <w:rsid w:val="00FC4B75"/>
    <w:rsid w:val="00FC513F"/>
    <w:rsid w:val="00FC5EC8"/>
    <w:rsid w:val="00FD0BD6"/>
    <w:rsid w:val="00FE3FD1"/>
    <w:rsid w:val="00FE7554"/>
    <w:rsid w:val="00FF0F55"/>
    <w:rsid w:val="00FF17FE"/>
    <w:rsid w:val="00FF3CFF"/>
    <w:rsid w:val="2DAC186C"/>
    <w:rsid w:val="42200080"/>
    <w:rsid w:val="488C51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0"/>
      <w:szCs w:val="30"/>
    </w:rPr>
  </w:style>
  <w:style w:type="paragraph" w:styleId="5">
    <w:name w:val="heading 4"/>
    <w:basedOn w:val="1"/>
    <w:next w:val="1"/>
    <w:link w:val="30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</w:rPr>
  </w:style>
  <w:style w:type="paragraph" w:styleId="6">
    <w:name w:val="heading 5"/>
    <w:basedOn w:val="1"/>
    <w:next w:val="1"/>
    <w:link w:val="31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2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</w:rPr>
  </w:style>
  <w:style w:type="paragraph" w:styleId="8">
    <w:name w:val="heading 7"/>
    <w:basedOn w:val="1"/>
    <w:next w:val="1"/>
    <w:link w:val="33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23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6"/>
    <w:qFormat/>
    <w:uiPriority w:val="99"/>
    <w:pPr>
      <w:spacing w:beforeLines="50" w:line="360" w:lineRule="auto"/>
      <w:ind w:firstLine="512" w:firstLineChars="200"/>
    </w:pPr>
    <w:rPr>
      <w:spacing w:val="8"/>
      <w:sz w:val="24"/>
      <w:szCs w:val="20"/>
    </w:rPr>
  </w:style>
  <w:style w:type="paragraph" w:styleId="12">
    <w:name w:val="Document Map"/>
    <w:basedOn w:val="1"/>
    <w:link w:val="67"/>
    <w:qFormat/>
    <w:uiPriority w:val="0"/>
    <w:rPr>
      <w:rFonts w:ascii="宋体"/>
      <w:sz w:val="18"/>
      <w:szCs w:val="18"/>
    </w:rPr>
  </w:style>
  <w:style w:type="paragraph" w:styleId="13">
    <w:name w:val="annotation text"/>
    <w:basedOn w:val="1"/>
    <w:link w:val="37"/>
    <w:unhideWhenUsed/>
    <w:qFormat/>
    <w:uiPriority w:val="0"/>
    <w:pPr>
      <w:jc w:val="left"/>
    </w:pPr>
    <w:rPr>
      <w:kern w:val="0"/>
      <w:sz w:val="20"/>
    </w:rPr>
  </w:style>
  <w:style w:type="paragraph" w:styleId="14">
    <w:name w:val="Plain Text"/>
    <w:basedOn w:val="1"/>
    <w:link w:val="38"/>
    <w:uiPriority w:val="0"/>
    <w:rPr>
      <w:rFonts w:ascii="Calibri" w:hAnsi="Courier New"/>
      <w:szCs w:val="20"/>
    </w:rPr>
  </w:style>
  <w:style w:type="paragraph" w:styleId="15">
    <w:name w:val="Balloon Text"/>
    <w:basedOn w:val="1"/>
    <w:link w:val="39"/>
    <w:uiPriority w:val="0"/>
    <w:rPr>
      <w:sz w:val="18"/>
      <w:szCs w:val="18"/>
    </w:rPr>
  </w:style>
  <w:style w:type="paragraph" w:styleId="16">
    <w:name w:val="footer"/>
    <w:basedOn w:val="1"/>
    <w:link w:val="4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13"/>
    <w:next w:val="13"/>
    <w:link w:val="66"/>
    <w:uiPriority w:val="0"/>
    <w:rPr>
      <w:b/>
      <w:bCs/>
      <w:kern w:val="2"/>
      <w:sz w:val="21"/>
    </w:rPr>
  </w:style>
  <w:style w:type="table" w:styleId="21">
    <w:name w:val="Table Grid"/>
    <w:basedOn w:val="2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">
    <w:name w:val="Table Theme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uiPriority w:val="22"/>
    <w:rPr>
      <w:b/>
      <w:bCs/>
    </w:rPr>
  </w:style>
  <w:style w:type="character" w:styleId="25">
    <w:name w:val="Hyperlink"/>
    <w:uiPriority w:val="0"/>
    <w:rPr>
      <w:color w:val="0563C1"/>
      <w:u w:val="single"/>
    </w:rPr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customStyle="1" w:styleId="27">
    <w:name w:val="标题 1 字符"/>
    <w:link w:val="2"/>
    <w:qFormat/>
    <w:uiPriority w:val="99"/>
    <w:rPr>
      <w:b/>
      <w:bCs/>
      <w:kern w:val="44"/>
      <w:sz w:val="44"/>
      <w:szCs w:val="44"/>
    </w:rPr>
  </w:style>
  <w:style w:type="character" w:customStyle="1" w:styleId="28">
    <w:name w:val="标题 2 字符"/>
    <w:link w:val="3"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9">
    <w:name w:val="标题 3 字符"/>
    <w:link w:val="4"/>
    <w:uiPriority w:val="0"/>
    <w:rPr>
      <w:b/>
      <w:bCs/>
      <w:kern w:val="2"/>
      <w:sz w:val="30"/>
      <w:szCs w:val="30"/>
    </w:rPr>
  </w:style>
  <w:style w:type="character" w:customStyle="1" w:styleId="30">
    <w:name w:val="标题 4 字符"/>
    <w:link w:val="5"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31">
    <w:name w:val="标题 5 字符"/>
    <w:link w:val="6"/>
    <w:uiPriority w:val="0"/>
    <w:rPr>
      <w:b/>
      <w:bCs/>
      <w:kern w:val="2"/>
      <w:sz w:val="28"/>
      <w:szCs w:val="28"/>
    </w:rPr>
  </w:style>
  <w:style w:type="character" w:customStyle="1" w:styleId="32">
    <w:name w:val="标题 6 字符"/>
    <w:link w:val="7"/>
    <w:semiHidden/>
    <w:uiPriority w:val="0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33">
    <w:name w:val="标题 7 字符"/>
    <w:link w:val="8"/>
    <w:semiHidden/>
    <w:uiPriority w:val="0"/>
    <w:rPr>
      <w:b/>
      <w:bCs/>
      <w:kern w:val="2"/>
      <w:sz w:val="24"/>
      <w:szCs w:val="24"/>
    </w:rPr>
  </w:style>
  <w:style w:type="character" w:customStyle="1" w:styleId="34">
    <w:name w:val="标题 8 字符"/>
    <w:link w:val="9"/>
    <w:semiHidden/>
    <w:uiPriority w:val="0"/>
    <w:rPr>
      <w:rFonts w:ascii="等线 Light" w:hAnsi="等线 Light" w:eastAsia="等线 Light"/>
      <w:kern w:val="2"/>
      <w:sz w:val="24"/>
      <w:szCs w:val="24"/>
    </w:rPr>
  </w:style>
  <w:style w:type="character" w:customStyle="1" w:styleId="35">
    <w:name w:val="标题 9 字符"/>
    <w:link w:val="10"/>
    <w:semiHidden/>
    <w:uiPriority w:val="0"/>
    <w:rPr>
      <w:rFonts w:ascii="等线 Light" w:hAnsi="等线 Light" w:eastAsia="等线 Light"/>
      <w:kern w:val="2"/>
      <w:sz w:val="21"/>
      <w:szCs w:val="21"/>
    </w:rPr>
  </w:style>
  <w:style w:type="character" w:customStyle="1" w:styleId="36">
    <w:name w:val="正文缩进 字符"/>
    <w:link w:val="11"/>
    <w:qFormat/>
    <w:uiPriority w:val="99"/>
    <w:rPr>
      <w:spacing w:val="8"/>
      <w:kern w:val="2"/>
      <w:sz w:val="24"/>
      <w:lang w:val="en-US" w:eastAsia="zh-CN"/>
    </w:rPr>
  </w:style>
  <w:style w:type="character" w:customStyle="1" w:styleId="37">
    <w:name w:val="批注文字 字符1"/>
    <w:link w:val="13"/>
    <w:uiPriority w:val="0"/>
    <w:rPr>
      <w:szCs w:val="24"/>
    </w:rPr>
  </w:style>
  <w:style w:type="character" w:customStyle="1" w:styleId="38">
    <w:name w:val="纯文本 字符"/>
    <w:link w:val="14"/>
    <w:uiPriority w:val="0"/>
    <w:rPr>
      <w:rFonts w:ascii="Calibri" w:hAnsi="Courier New"/>
      <w:kern w:val="2"/>
      <w:sz w:val="21"/>
    </w:rPr>
  </w:style>
  <w:style w:type="character" w:customStyle="1" w:styleId="39">
    <w:name w:val="批注框文本 字符"/>
    <w:link w:val="15"/>
    <w:uiPriority w:val="0"/>
    <w:rPr>
      <w:kern w:val="2"/>
      <w:sz w:val="18"/>
      <w:szCs w:val="18"/>
    </w:rPr>
  </w:style>
  <w:style w:type="character" w:customStyle="1" w:styleId="40">
    <w:name w:val="页脚 字符1"/>
    <w:link w:val="16"/>
    <w:uiPriority w:val="0"/>
    <w:rPr>
      <w:kern w:val="2"/>
      <w:sz w:val="18"/>
      <w:szCs w:val="18"/>
    </w:rPr>
  </w:style>
  <w:style w:type="character" w:customStyle="1" w:styleId="41">
    <w:name w:val="页眉 字符"/>
    <w:link w:val="17"/>
    <w:qFormat/>
    <w:uiPriority w:val="0"/>
    <w:rPr>
      <w:kern w:val="2"/>
      <w:sz w:val="18"/>
      <w:szCs w:val="18"/>
    </w:rPr>
  </w:style>
  <w:style w:type="character" w:customStyle="1" w:styleId="42">
    <w:name w:val="已访问的超链接1"/>
    <w:uiPriority w:val="0"/>
    <w:rPr>
      <w:color w:val="800080"/>
      <w:u w:val="single"/>
    </w:rPr>
  </w:style>
  <w:style w:type="character" w:customStyle="1" w:styleId="43">
    <w:name w:val="正文（首行缩进2字符） Char"/>
    <w:link w:val="44"/>
    <w:uiPriority w:val="0"/>
    <w:rPr>
      <w:kern w:val="2"/>
      <w:sz w:val="24"/>
      <w:szCs w:val="24"/>
    </w:rPr>
  </w:style>
  <w:style w:type="paragraph" w:customStyle="1" w:styleId="44">
    <w:name w:val="正文（首行缩进2字符）"/>
    <w:basedOn w:val="1"/>
    <w:link w:val="43"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45">
    <w:name w:val="段落 Char1"/>
    <w:link w:val="46"/>
    <w:qFormat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46">
    <w:name w:val="段落"/>
    <w:link w:val="45"/>
    <w:qFormat/>
    <w:uiPriority w:val="0"/>
    <w:pPr>
      <w:adjustRightInd w:val="0"/>
      <w:snapToGrid w:val="0"/>
      <w:spacing w:before="120" w:after="120" w:line="360" w:lineRule="auto"/>
      <w:ind w:firstLine="480" w:firstLine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character" w:customStyle="1" w:styleId="47">
    <w:name w:val="正文（安华金和） Char"/>
    <w:link w:val="48"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48">
    <w:name w:val="正文（安华金和）"/>
    <w:link w:val="47"/>
    <w:qFormat/>
    <w:uiPriority w:val="0"/>
    <w:pPr>
      <w:widowControl w:val="0"/>
      <w:spacing w:line="360" w:lineRule="auto"/>
      <w:ind w:firstLine="200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9">
    <w:name w:val="页脚 字符"/>
    <w:uiPriority w:val="99"/>
  </w:style>
  <w:style w:type="character" w:customStyle="1" w:styleId="50">
    <w:name w:val="列出段落 Char"/>
    <w:link w:val="51"/>
    <w:qFormat/>
    <w:uiPriority w:val="34"/>
    <w:rPr>
      <w:rFonts w:ascii="等线" w:hAnsi="等线" w:eastAsia="等线"/>
      <w:kern w:val="2"/>
      <w:sz w:val="21"/>
      <w:szCs w:val="22"/>
    </w:rPr>
  </w:style>
  <w:style w:type="paragraph" w:customStyle="1" w:styleId="51">
    <w:name w:val="列出段落1"/>
    <w:basedOn w:val="1"/>
    <w:link w:val="50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52">
    <w:name w:val="插图标注（安华金和）"/>
    <w:next w:val="1"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53">
    <w:name w:val="标题 2（DBSec）"/>
    <w:basedOn w:val="3"/>
    <w:next w:val="1"/>
    <w:qFormat/>
    <w:uiPriority w:val="0"/>
    <w:pPr>
      <w:numPr>
        <w:ilvl w:val="1"/>
        <w:numId w:val="2"/>
      </w:numPr>
      <w:spacing w:line="415" w:lineRule="auto"/>
      <w:ind w:left="794" w:leftChars="200"/>
      <w:jc w:val="left"/>
    </w:pPr>
    <w:rPr>
      <w:rFonts w:ascii="Arial" w:hAnsi="Arial" w:eastAsia="黑体"/>
      <w:bCs w:val="0"/>
    </w:rPr>
  </w:style>
  <w:style w:type="paragraph" w:customStyle="1" w:styleId="5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55">
    <w:name w:val="_Style 27"/>
    <w:basedOn w:val="1"/>
    <w:next w:val="51"/>
    <w:qFormat/>
    <w:uiPriority w:val="34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6">
    <w:name w:val="列出段落2"/>
    <w:basedOn w:val="1"/>
    <w:qFormat/>
    <w:uiPriority w:val="99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7">
    <w:name w:val="标题 6（有编号）（安华金和）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58">
    <w:name w:val="标题 4（DBSec）"/>
    <w:basedOn w:val="5"/>
    <w:next w:val="1"/>
    <w:qFormat/>
    <w:uiPriority w:val="0"/>
    <w:pPr>
      <w:widowControl/>
      <w:numPr>
        <w:numId w:val="2"/>
      </w:numPr>
      <w:spacing w:after="156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9">
    <w:name w:val="标题 3（DBSec）"/>
    <w:basedOn w:val="4"/>
    <w:next w:val="1"/>
    <w:qFormat/>
    <w:uiPriority w:val="0"/>
    <w:pPr>
      <w:numPr>
        <w:ilvl w:val="2"/>
        <w:numId w:val="2"/>
      </w:numPr>
      <w:tabs>
        <w:tab w:val="left" w:pos="960"/>
      </w:tabs>
      <w:spacing w:line="415" w:lineRule="auto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60">
    <w:name w:val="标题 1（DBSec）"/>
    <w:basedOn w:val="2"/>
    <w:next w:val="1"/>
    <w:qFormat/>
    <w:uiPriority w:val="0"/>
    <w:pPr>
      <w:pageBreakBefore/>
      <w:numPr>
        <w:numId w:val="2"/>
      </w:numPr>
      <w:pBdr>
        <w:bottom w:val="single" w:color="auto" w:sz="48" w:space="1"/>
      </w:pBdr>
      <w:spacing w:before="600" w:line="576" w:lineRule="auto"/>
      <w:ind w:left="200" w:leftChars="200"/>
      <w:jc w:val="left"/>
    </w:pPr>
    <w:rPr>
      <w:rFonts w:ascii="Arial" w:hAnsi="Arial" w:eastAsia="黑体"/>
    </w:rPr>
  </w:style>
  <w:style w:type="paragraph" w:customStyle="1" w:styleId="61">
    <w:name w:val="彩色列表 - 着色 11"/>
    <w:basedOn w:val="1"/>
    <w:qFormat/>
    <w:uiPriority w:val="34"/>
    <w:pPr>
      <w:spacing w:line="360" w:lineRule="auto"/>
      <w:ind w:firstLine="420" w:firstLineChars="200"/>
    </w:pPr>
    <w:rPr>
      <w:rFonts w:ascii="Arial" w:hAnsi="Arial"/>
      <w:szCs w:val="21"/>
    </w:rPr>
  </w:style>
  <w:style w:type="paragraph" w:customStyle="1" w:styleId="62">
    <w:name w:val="表格标注（安华金和）"/>
    <w:basedOn w:val="52"/>
    <w:next w:val="1"/>
    <w:qFormat/>
    <w:uiPriority w:val="0"/>
    <w:pPr>
      <w:numPr>
        <w:ilvl w:val="7"/>
      </w:numPr>
    </w:pPr>
  </w:style>
  <w:style w:type="paragraph" w:customStyle="1" w:styleId="63">
    <w:name w:val="标题 5（有编号）（安华金和）"/>
    <w:basedOn w:val="1"/>
    <w:next w:val="1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4">
    <w:name w:val="List Paragraph11"/>
    <w:basedOn w:val="1"/>
    <w:next w:val="1"/>
    <w:qFormat/>
    <w:uiPriority w:val="34"/>
    <w:pPr>
      <w:spacing w:line="360" w:lineRule="auto"/>
      <w:ind w:firstLine="420" w:firstLineChars="200"/>
    </w:pPr>
    <w:rPr>
      <w:rFonts w:ascii="Verdana" w:hAnsi="Verdana"/>
      <w:color w:val="000000"/>
      <w:sz w:val="20"/>
      <w:szCs w:val="20"/>
    </w:rPr>
  </w:style>
  <w:style w:type="character" w:customStyle="1" w:styleId="65">
    <w:name w:val="批注文字 字符"/>
    <w:qFormat/>
    <w:uiPriority w:val="99"/>
    <w:rPr>
      <w:kern w:val="2"/>
      <w:sz w:val="21"/>
      <w:szCs w:val="24"/>
    </w:rPr>
  </w:style>
  <w:style w:type="character" w:customStyle="1" w:styleId="66">
    <w:name w:val="批注主题 字符"/>
    <w:basedOn w:val="37"/>
    <w:link w:val="19"/>
    <w:uiPriority w:val="0"/>
    <w:rPr>
      <w:b/>
      <w:bCs/>
      <w:kern w:val="2"/>
      <w:sz w:val="21"/>
      <w:szCs w:val="24"/>
    </w:rPr>
  </w:style>
  <w:style w:type="character" w:customStyle="1" w:styleId="67">
    <w:name w:val="文档结构图 字符"/>
    <w:basedOn w:val="23"/>
    <w:link w:val="12"/>
    <w:qFormat/>
    <w:uiPriority w:val="0"/>
    <w:rPr>
      <w:rFonts w:ascii="宋体"/>
      <w:kern w:val="2"/>
      <w:sz w:val="18"/>
      <w:szCs w:val="18"/>
    </w:rPr>
  </w:style>
  <w:style w:type="paragraph" w:styleId="6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426</Words>
  <Characters>2432</Characters>
  <Lines>20</Lines>
  <Paragraphs>5</Paragraphs>
  <TotalTime>348</TotalTime>
  <ScaleCrop>false</ScaleCrop>
  <LinksUpToDate>false</LinksUpToDate>
  <CharactersWithSpaces>2853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2023-04-10T08:28:00Z</dcterms:created>
  <dc:creator>陈永辉</dc:creator>
  <cp:lastModifiedBy>赵杰</cp:lastModifiedBy>
  <dcterms:modified xsi:type="dcterms:W3CDTF">2023-08-08T09:08:50Z</dcterms:modified>
  <dc:title>1</dc:title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E6BF652D54F944798887341195E59480</vt:lpwstr>
  </property>
</Properties>
</file>