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100" w:line="360" w:lineRule="auto"/>
        <w:jc w:val="center"/>
        <w:rPr>
          <w:rFonts w:ascii="宋体" w:hAnsi="宋体"/>
          <w:b/>
          <w:sz w:val="44"/>
          <w:szCs w:val="30"/>
        </w:rPr>
      </w:pPr>
      <w:r>
        <w:rPr>
          <w:rFonts w:hint="eastAsia" w:ascii="宋体" w:hAnsi="宋体"/>
          <w:b/>
          <w:sz w:val="44"/>
          <w:szCs w:val="30"/>
        </w:rPr>
        <w:t>2023年循证医学网站网刊发布管理系统升级</w:t>
      </w:r>
      <w:r>
        <w:rPr>
          <w:rFonts w:hint="eastAsia" w:ascii="宋体" w:hAnsi="宋体"/>
          <w:b/>
          <w:sz w:val="44"/>
          <w:szCs w:val="30"/>
          <w:lang w:val="en-US" w:eastAsia="zh-CN"/>
        </w:rPr>
        <w:t xml:space="preserve">  </w:t>
      </w:r>
      <w:r>
        <w:rPr>
          <w:rFonts w:hint="eastAsia" w:ascii="宋体" w:hAnsi="宋体"/>
          <w:b/>
          <w:sz w:val="44"/>
          <w:szCs w:val="30"/>
        </w:rPr>
        <w:t>项目需求</w:t>
      </w:r>
    </w:p>
    <w:p>
      <w:pPr>
        <w:pStyle w:val="2"/>
        <w:numPr>
          <w:ilvl w:val="0"/>
          <w:numId w:val="2"/>
        </w:numPr>
        <w:spacing w:before="0" w:after="0"/>
        <w:rPr>
          <w:rFonts w:ascii="宋体" w:hAnsi="宋体"/>
          <w:sz w:val="32"/>
          <w:szCs w:val="32"/>
        </w:rPr>
      </w:pPr>
      <w:r>
        <w:rPr>
          <w:rFonts w:hint="eastAsia" w:ascii="宋体" w:hAnsi="宋体"/>
          <w:sz w:val="32"/>
          <w:szCs w:val="32"/>
        </w:rPr>
        <w:t>项目名称</w:t>
      </w:r>
    </w:p>
    <w:p>
      <w:pPr>
        <w:spacing w:line="360" w:lineRule="auto"/>
        <w:ind w:left="425"/>
        <w:rPr>
          <w:rFonts w:hint="eastAsia" w:ascii="微软雅黑" w:hAnsi="微软雅黑" w:eastAsia="宋体"/>
          <w:color w:val="0070C0"/>
          <w:sz w:val="20"/>
          <w:lang w:eastAsia="zh-CN"/>
        </w:rPr>
      </w:pPr>
      <w:r>
        <w:rPr>
          <w:rFonts w:hint="eastAsia" w:ascii="宋体" w:hAnsi="宋体"/>
          <w:sz w:val="22"/>
        </w:rPr>
        <w:t>项目名称：2023年循证医学网站网刊发布管理系统升级</w:t>
      </w:r>
      <w:r>
        <w:rPr>
          <w:rFonts w:hint="eastAsia" w:ascii="宋体" w:hAnsi="宋体"/>
          <w:sz w:val="22"/>
          <w:lang w:eastAsia="zh-CN"/>
        </w:rPr>
        <w:t>项目</w:t>
      </w:r>
    </w:p>
    <w:p>
      <w:pPr>
        <w:pStyle w:val="2"/>
        <w:numPr>
          <w:ilvl w:val="0"/>
          <w:numId w:val="2"/>
        </w:numPr>
        <w:spacing w:before="0" w:after="0"/>
        <w:rPr>
          <w:rFonts w:ascii="宋体" w:hAnsi="宋体"/>
          <w:sz w:val="32"/>
          <w:szCs w:val="32"/>
        </w:rPr>
      </w:pPr>
      <w:r>
        <w:rPr>
          <w:rFonts w:hint="eastAsia" w:ascii="宋体" w:hAnsi="宋体"/>
          <w:sz w:val="32"/>
          <w:szCs w:val="32"/>
        </w:rPr>
        <w:t>项目内容</w:t>
      </w:r>
    </w:p>
    <w:p>
      <w:r>
        <w:rPr>
          <w:rFonts w:hint="eastAsia"/>
        </w:rPr>
        <w:t>项目</w:t>
      </w:r>
      <w:r>
        <w:t>功能</w:t>
      </w:r>
      <w:r>
        <w:rPr>
          <w:rFonts w:hint="eastAsia"/>
        </w:rPr>
        <w:t>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8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jc w:val="center"/>
            </w:pPr>
            <w:r>
              <w:rPr>
                <w:rFonts w:hint="eastAsia"/>
              </w:rPr>
              <w:t>序号</w:t>
            </w:r>
          </w:p>
        </w:tc>
        <w:tc>
          <w:tcPr>
            <w:tcW w:w="3828" w:type="dxa"/>
          </w:tcPr>
          <w:p>
            <w:pPr>
              <w:jc w:val="center"/>
            </w:pPr>
            <w:r>
              <w:rPr>
                <w:rFonts w:hint="eastAsia"/>
              </w:rPr>
              <w:t>系统名称</w:t>
            </w:r>
          </w:p>
        </w:tc>
        <w:tc>
          <w:tcPr>
            <w:tcW w:w="4536" w:type="dxa"/>
          </w:tcPr>
          <w:p>
            <w:pPr>
              <w:jc w:val="center"/>
            </w:pPr>
            <w:r>
              <w:rPr>
                <w:rFonts w:hint="eastAsia"/>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t>1</w:t>
            </w:r>
          </w:p>
        </w:tc>
        <w:tc>
          <w:tcPr>
            <w:tcW w:w="3828" w:type="dxa"/>
          </w:tcPr>
          <w:p>
            <w:r>
              <w:rPr>
                <w:rFonts w:hint="eastAsia"/>
              </w:rPr>
              <w:t>XML在线生产流程管理系统；</w:t>
            </w:r>
            <w:r>
              <w:br w:type="textWrapping"/>
            </w:r>
            <w:r>
              <w:rPr>
                <w:rFonts w:hint="eastAsia"/>
              </w:rPr>
              <w:t>XML结构化在线排版编校系统；</w:t>
            </w:r>
          </w:p>
        </w:tc>
        <w:tc>
          <w:tcPr>
            <w:tcW w:w="4536" w:type="dxa"/>
          </w:tcPr>
          <w:p>
            <w:r>
              <w:fldChar w:fldCharType="begin"/>
            </w:r>
            <w:r>
              <w:instrText xml:space="preserve"> HYPERLINK \l "_6.1.1、大数据服务器" </w:instrText>
            </w:r>
            <w:r>
              <w:fldChar w:fldCharType="separate"/>
            </w:r>
            <w:r>
              <w:rPr>
                <w:rStyle w:val="23"/>
                <w:rFonts w:hint="eastAsia"/>
              </w:rPr>
              <w:t>配置详见3</w:t>
            </w:r>
            <w:r>
              <w:rPr>
                <w:rStyle w:val="23"/>
              </w:rPr>
              <w:t>.</w:t>
            </w:r>
            <w:r>
              <w:rPr>
                <w:rStyle w:val="23"/>
                <w:rFonts w:hint="eastAsia"/>
              </w:rPr>
              <w:t>1.1、XML一体化融合出版平台详细功能</w:t>
            </w:r>
            <w:r>
              <w:rPr>
                <w:rStyle w:val="23"/>
                <w:rFonts w:hint="eastAsia"/>
              </w:rPr>
              <w:fldChar w:fldCharType="end"/>
            </w:r>
            <w:r>
              <w:rPr>
                <w:rStyle w:val="23"/>
              </w:rPr>
              <w:t xml:space="preserve"> </w:t>
            </w:r>
            <w:r>
              <w:rPr>
                <w:rStyle w:val="23"/>
                <w:rFonts w:hint="eastAsia"/>
              </w:rPr>
              <w:t>序号1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2</w:t>
            </w:r>
          </w:p>
        </w:tc>
        <w:tc>
          <w:tcPr>
            <w:tcW w:w="3828" w:type="dxa"/>
          </w:tcPr>
          <w:p>
            <w:r>
              <w:rPr>
                <w:rFonts w:hint="eastAsia"/>
              </w:rPr>
              <w:t>XML网刊发布系统</w:t>
            </w:r>
          </w:p>
        </w:tc>
        <w:tc>
          <w:tcPr>
            <w:tcW w:w="4536" w:type="dxa"/>
          </w:tcPr>
          <w:p>
            <w:r>
              <w:fldChar w:fldCharType="begin"/>
            </w:r>
            <w:r>
              <w:instrText xml:space="preserve"> HYPERLINK \l "_6.1.1、大数据服务器" </w:instrText>
            </w:r>
            <w:r>
              <w:fldChar w:fldCharType="separate"/>
            </w:r>
            <w:r>
              <w:rPr>
                <w:rStyle w:val="23"/>
                <w:rFonts w:hint="eastAsia"/>
              </w:rPr>
              <w:t>配置详见3</w:t>
            </w:r>
            <w:r>
              <w:rPr>
                <w:rStyle w:val="23"/>
              </w:rPr>
              <w:t>.</w:t>
            </w:r>
            <w:r>
              <w:rPr>
                <w:rStyle w:val="23"/>
                <w:rFonts w:hint="eastAsia"/>
              </w:rPr>
              <w:t>1.1、XML一体化融合出版平台详细功能</w:t>
            </w:r>
            <w:r>
              <w:rPr>
                <w:rStyle w:val="23"/>
                <w:rFonts w:hint="eastAsia"/>
              </w:rPr>
              <w:fldChar w:fldCharType="end"/>
            </w:r>
            <w:r>
              <w:rPr>
                <w:rStyle w:val="23"/>
                <w:rFonts w:hint="eastAsia"/>
              </w:rPr>
              <w:t>序号</w:t>
            </w:r>
            <w:r>
              <w:rPr>
                <w:rStyle w:val="23"/>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3</w:t>
            </w:r>
          </w:p>
        </w:tc>
        <w:tc>
          <w:tcPr>
            <w:tcW w:w="3828" w:type="dxa"/>
          </w:tcPr>
          <w:p>
            <w:r>
              <w:rPr>
                <w:rFonts w:hint="eastAsia"/>
              </w:rPr>
              <w:t>微信公众号融合系统</w:t>
            </w:r>
          </w:p>
        </w:tc>
        <w:tc>
          <w:tcPr>
            <w:tcW w:w="4536" w:type="dxa"/>
          </w:tcPr>
          <w:p>
            <w:r>
              <w:fldChar w:fldCharType="begin"/>
            </w:r>
            <w:r>
              <w:instrText xml:space="preserve"> HYPERLINK \l "_6.1.1、大数据服务器" </w:instrText>
            </w:r>
            <w:r>
              <w:fldChar w:fldCharType="separate"/>
            </w:r>
            <w:r>
              <w:rPr>
                <w:rStyle w:val="23"/>
                <w:rFonts w:hint="eastAsia"/>
              </w:rPr>
              <w:t>配置详见3</w:t>
            </w:r>
            <w:r>
              <w:rPr>
                <w:rStyle w:val="23"/>
              </w:rPr>
              <w:t>.</w:t>
            </w:r>
            <w:r>
              <w:rPr>
                <w:rStyle w:val="23"/>
                <w:rFonts w:hint="eastAsia"/>
              </w:rPr>
              <w:t>1.1、XML一体化融合出版平台详细功能</w:t>
            </w:r>
            <w:r>
              <w:rPr>
                <w:rStyle w:val="23"/>
                <w:rFonts w:hint="eastAsia"/>
              </w:rPr>
              <w:fldChar w:fldCharType="end"/>
            </w:r>
            <w:r>
              <w:rPr>
                <w:rStyle w:val="23"/>
                <w:rFonts w:hint="eastAsia"/>
              </w:rPr>
              <w:t>序号</w:t>
            </w:r>
            <w:r>
              <w:rPr>
                <w:rStyle w:val="23"/>
              </w:rPr>
              <w:t>3</w:t>
            </w:r>
          </w:p>
        </w:tc>
      </w:tr>
    </w:tbl>
    <w:p>
      <w:pPr>
        <w:pStyle w:val="2"/>
        <w:numPr>
          <w:ilvl w:val="0"/>
          <w:numId w:val="2"/>
        </w:numPr>
        <w:spacing w:before="0" w:after="0"/>
        <w:rPr>
          <w:rFonts w:ascii="宋体" w:hAnsi="宋体"/>
          <w:sz w:val="32"/>
          <w:szCs w:val="32"/>
        </w:rPr>
      </w:pPr>
      <w:r>
        <w:rPr>
          <w:rFonts w:hint="eastAsia" w:ascii="宋体" w:hAnsi="宋体"/>
          <w:sz w:val="32"/>
          <w:szCs w:val="32"/>
        </w:rPr>
        <w:t>详细功能描述</w:t>
      </w:r>
    </w:p>
    <w:p>
      <w:pPr>
        <w:pStyle w:val="3"/>
        <w:spacing w:before="0" w:after="0"/>
        <w:rPr>
          <w:rFonts w:ascii="宋体" w:hAnsi="宋体" w:eastAsia="宋体"/>
          <w:sz w:val="24"/>
          <w:szCs w:val="24"/>
        </w:rPr>
      </w:pPr>
      <w:bookmarkStart w:id="0" w:name="_6.1.1、大数据服务器"/>
      <w:bookmarkEnd w:id="0"/>
      <w:r>
        <w:rPr>
          <w:rFonts w:ascii="宋体" w:hAnsi="宋体" w:eastAsia="宋体"/>
          <w:sz w:val="24"/>
          <w:szCs w:val="24"/>
        </w:rPr>
        <w:t>3.1.1</w:t>
      </w:r>
      <w:r>
        <w:rPr>
          <w:rFonts w:hint="eastAsia" w:ascii="宋体" w:hAnsi="宋体" w:eastAsia="宋体"/>
          <w:sz w:val="24"/>
          <w:szCs w:val="24"/>
        </w:rPr>
        <w:t>、X</w:t>
      </w:r>
      <w:r>
        <w:rPr>
          <w:rFonts w:ascii="宋体" w:hAnsi="宋体" w:eastAsia="宋体"/>
          <w:sz w:val="24"/>
          <w:szCs w:val="24"/>
        </w:rPr>
        <w:t>ML</w:t>
      </w:r>
      <w:r>
        <w:rPr>
          <w:rFonts w:hint="eastAsia" w:ascii="宋体" w:hAnsi="宋体" w:eastAsia="宋体"/>
          <w:sz w:val="24"/>
          <w:szCs w:val="24"/>
        </w:rPr>
        <w:t>一体化融合出版平台详细功能</w:t>
      </w:r>
    </w:p>
    <w:tbl>
      <w:tblPr>
        <w:tblStyle w:val="19"/>
        <w:tblW w:w="4942" w:type="pct"/>
        <w:tblInd w:w="108" w:type="dxa"/>
        <w:tblLayout w:type="autofit"/>
        <w:tblCellMar>
          <w:top w:w="0" w:type="dxa"/>
          <w:left w:w="108" w:type="dxa"/>
          <w:bottom w:w="0" w:type="dxa"/>
          <w:right w:w="108" w:type="dxa"/>
        </w:tblCellMar>
      </w:tblPr>
      <w:tblGrid>
        <w:gridCol w:w="936"/>
        <w:gridCol w:w="2041"/>
        <w:gridCol w:w="6201"/>
      </w:tblGrid>
      <w:tr>
        <w:tblPrEx>
          <w:tblCellMar>
            <w:top w:w="0" w:type="dxa"/>
            <w:left w:w="108" w:type="dxa"/>
            <w:bottom w:w="0" w:type="dxa"/>
            <w:right w:w="108" w:type="dxa"/>
          </w:tblCellMar>
        </w:tblPrEx>
        <w:trPr>
          <w:trHeight w:val="596" w:hRule="atLeast"/>
        </w:trPr>
        <w:tc>
          <w:tcPr>
            <w:tcW w:w="51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111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功能模块</w:t>
            </w:r>
          </w:p>
        </w:tc>
        <w:tc>
          <w:tcPr>
            <w:tcW w:w="337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功能描述</w:t>
            </w:r>
          </w:p>
        </w:tc>
      </w:tr>
      <w:tr>
        <w:tblPrEx>
          <w:tblCellMar>
            <w:top w:w="0" w:type="dxa"/>
            <w:left w:w="108" w:type="dxa"/>
            <w:bottom w:w="0" w:type="dxa"/>
            <w:right w:w="108" w:type="dxa"/>
          </w:tblCellMar>
        </w:tblPrEx>
        <w:trPr>
          <w:trHeight w:val="320" w:hRule="atLeast"/>
        </w:trPr>
        <w:tc>
          <w:tcPr>
            <w:tcW w:w="510" w:type="pct"/>
            <w:vMerge w:val="restart"/>
            <w:tcBorders>
              <w:top w:val="nil"/>
              <w:left w:val="single" w:color="auto" w:sz="4" w:space="0"/>
              <w:right w:val="single" w:color="auto" w:sz="4" w:space="0"/>
            </w:tcBorders>
            <w:vAlign w:val="center"/>
          </w:tcPr>
          <w:p>
            <w:pPr>
              <w:jc w:val="center"/>
              <w:rPr>
                <w:color w:val="000000"/>
                <w:szCs w:val="21"/>
              </w:rPr>
            </w:pPr>
            <w:r>
              <w:rPr>
                <w:color w:val="000000"/>
                <w:szCs w:val="21"/>
              </w:rPr>
              <w:t>1</w:t>
            </w:r>
          </w:p>
        </w:tc>
        <w:tc>
          <w:tcPr>
            <w:tcW w:w="1112" w:type="pct"/>
            <w:tcBorders>
              <w:top w:val="nil"/>
              <w:left w:val="nil"/>
              <w:bottom w:val="single" w:color="auto" w:sz="4" w:space="0"/>
              <w:right w:val="single" w:color="auto" w:sz="4" w:space="0"/>
            </w:tcBorders>
            <w:vAlign w:val="center"/>
          </w:tcPr>
          <w:p>
            <w:pPr>
              <w:widowControl/>
              <w:rPr>
                <w:szCs w:val="21"/>
              </w:rPr>
            </w:pPr>
            <w:r>
              <w:rPr>
                <w:szCs w:val="21"/>
              </w:rPr>
              <w:t>a)以XML作为系统基础数据文件</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在文章排版开始自动实现由原稿到XML的转变过程，并且保持文章整个生产过程均以XML作为基础数据文件，并在文章生产过程的任意阶段均可以随时导出XML文件，每一阶段的XML文件均与该阶段对应的PDF内容保持一致。</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b)在线编校修改</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系统提供编辑校对在线修改、外部校对润色在线修改、作者清样校对在线修改，在线操作所见即所得，保留全部修改痕迹。</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c)系统界面可视化</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提供系统的可视化修改界面，实现文章修改页面、PDF页面及修改记录同步呈现，其中，文章修改页面提供文章、图、表、公式及参考文献内容的添加、删除、修正，系统提供插入批注、提问（对作者）等功能</w:t>
            </w:r>
            <w:r>
              <w:rPr>
                <w:rFonts w:hint="eastAsia"/>
                <w:szCs w:val="21"/>
              </w:rPr>
              <w:t>。</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d)在线生成PDF</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系统在线生成的PDF文件分为网络版和印刷版，其中网络版PDF带有文献、图、表等内部链接，同时带有url、email、doi等外部链接。另外要求生成单篇</w:t>
            </w:r>
            <w:r>
              <w:rPr>
                <w:color w:val="000000" w:themeColor="text1"/>
                <w:szCs w:val="21"/>
              </w:rPr>
              <w:t>文章的推荐文章版PDF，即在</w:t>
            </w:r>
            <w:r>
              <w:rPr>
                <w:szCs w:val="21"/>
              </w:rPr>
              <w:t>每篇文章PDF前面加载一个推荐页，展示本文的相似文章，并加上访问链接，引导读者点击阅读访问。</w:t>
            </w:r>
          </w:p>
          <w:p>
            <w:pPr>
              <w:widowControl/>
              <w:rPr>
                <w:szCs w:val="21"/>
              </w:rPr>
            </w:pP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rFonts w:hint="eastAsia"/>
                <w:szCs w:val="21"/>
              </w:rPr>
              <w:t>e</w:t>
            </w:r>
            <w:r>
              <w:rPr>
                <w:szCs w:val="21"/>
              </w:rPr>
              <w:t>)流程管理</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系统记录完整的排版生产流程环节，可以查找任意文章的排版当前进度以及历史过程，可以知道任意文章的整体周期和当前进度周期</w:t>
            </w:r>
            <w:r>
              <w:rPr>
                <w:rFonts w:hint="eastAsia"/>
                <w:szCs w:val="21"/>
              </w:rPr>
              <w:t>。</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rFonts w:hint="eastAsia"/>
                <w:szCs w:val="21"/>
              </w:rPr>
              <w:t>f</w:t>
            </w:r>
            <w:r>
              <w:rPr>
                <w:szCs w:val="21"/>
              </w:rPr>
              <w:t>)版本痕迹比较</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系统可以对文章进行各阶段的内容修改版本比较，以保留修改痕迹方式展示版本差异</w:t>
            </w:r>
            <w:r>
              <w:rPr>
                <w:rFonts w:hint="eastAsia"/>
                <w:szCs w:val="21"/>
              </w:rPr>
              <w:t>。</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color w:val="000000"/>
                <w:szCs w:val="21"/>
              </w:rPr>
            </w:pPr>
            <w:r>
              <w:rPr>
                <w:rFonts w:hint="eastAsia"/>
                <w:szCs w:val="21"/>
              </w:rPr>
              <w:t>g</w:t>
            </w:r>
            <w:r>
              <w:rPr>
                <w:szCs w:val="21"/>
              </w:rPr>
              <w:t>)自动目录索引</w:t>
            </w:r>
          </w:p>
        </w:tc>
        <w:tc>
          <w:tcPr>
            <w:tcW w:w="3378" w:type="pct"/>
            <w:tcBorders>
              <w:top w:val="nil"/>
              <w:left w:val="nil"/>
              <w:bottom w:val="single" w:color="auto" w:sz="4" w:space="0"/>
              <w:right w:val="single" w:color="auto" w:sz="4" w:space="0"/>
            </w:tcBorders>
            <w:vAlign w:val="center"/>
          </w:tcPr>
          <w:p>
            <w:pPr>
              <w:widowControl/>
              <w:rPr>
                <w:color w:val="000000"/>
                <w:szCs w:val="21"/>
              </w:rPr>
            </w:pPr>
            <w:r>
              <w:rPr>
                <w:szCs w:val="21"/>
              </w:rPr>
              <w:t>系统可以将整期的文章发送到“预出版”，并对整期文章进行文章排序，自动根据排序结果生成各篇文章的起始页码和结束页码，同时自动更新全部PDF文件。</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rFonts w:hint="eastAsia"/>
                <w:szCs w:val="21"/>
              </w:rPr>
              <w:t>h</w:t>
            </w:r>
            <w:r>
              <w:rPr>
                <w:szCs w:val="21"/>
              </w:rPr>
              <w:t>）给作者发清样</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可以设置给作者发清样邮件模板，并以单篇或整期为单位，一键完成给作者发清样邮件发送；系统自动加载对应文章的PDF，以及根据邮件模板自动提取文章信息内容，包括在线修改地址、在线痕迹显示地址、在线预览地址等；同时可以自动核算版面费，自动给作者发送版面费通知。</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rFonts w:hint="eastAsia"/>
                <w:szCs w:val="21"/>
              </w:rPr>
              <w:t>i</w:t>
            </w:r>
            <w:r>
              <w:rPr>
                <w:szCs w:val="21"/>
              </w:rPr>
              <w:t>)文献DOI自动查找</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系统可以对文章参考文献进行自动DOI查找，并关联到文章XML信息中，并配合PDF模板支持在生产的PDF文件中自动加载参考文献DOI显示。</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rFonts w:hint="eastAsia"/>
                <w:szCs w:val="21"/>
              </w:rPr>
              <w:t>j</w:t>
            </w:r>
            <w:r>
              <w:rPr>
                <w:szCs w:val="21"/>
              </w:rPr>
              <w:t>)全文格式规范校验</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系统可以实现校验文章章节顺序、参考文献排版及正文引用校验、空值校验等。</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rFonts w:hint="eastAsia"/>
                <w:szCs w:val="21"/>
              </w:rPr>
              <w:t>k</w:t>
            </w:r>
            <w:r>
              <w:rPr>
                <w:szCs w:val="21"/>
              </w:rPr>
              <w:t>)一键网刊发布</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系统集成期刊网刊发布系统，实现最新录用、优先发表、当期目录等内容的一键发布，系统自动实现基本元数据、pdf文件、xml/html全文等多种格式内容的自动发布。</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rFonts w:hint="eastAsia"/>
                <w:szCs w:val="21"/>
              </w:rPr>
              <w:t>l</w:t>
            </w:r>
            <w:r>
              <w:rPr>
                <w:szCs w:val="21"/>
              </w:rPr>
              <w:t>)数据导入、导出</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可以在最新录用、预出版、已出版的任意阶段，下载打包XML文件、TIFF原图文件、PDF文件(网络版印刷版)，支持其他包括DOAJ、CrossRef、万方doi等等XML文件下载导出。</w:t>
            </w:r>
            <w:r>
              <w:rPr>
                <w:rFonts w:hint="eastAsia"/>
                <w:szCs w:val="21"/>
              </w:rPr>
              <w:t>同时支持定稿后稿件的Word（无格式）文件的导出。</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rFonts w:hint="eastAsia"/>
                <w:szCs w:val="21"/>
              </w:rPr>
              <w:t>m</w:t>
            </w:r>
            <w:r>
              <w:rPr>
                <w:szCs w:val="21"/>
              </w:rPr>
              <w:t>)文章被引信息自动推送</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系统自动检测文章被引情况，以邮件和微信方式自动推送给作者。</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bottom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rFonts w:hint="eastAsia"/>
                <w:szCs w:val="21"/>
              </w:rPr>
              <w:t>n</w:t>
            </w:r>
            <w:r>
              <w:rPr>
                <w:szCs w:val="21"/>
              </w:rPr>
              <w:t>)数据统计</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系统可以统计单篇或整期文章的审稿周期、生产周期、栏目文章数、图数、表数、文献数、文章自引率等内容。</w:t>
            </w:r>
          </w:p>
        </w:tc>
      </w:tr>
      <w:tr>
        <w:tblPrEx>
          <w:tblCellMar>
            <w:top w:w="0" w:type="dxa"/>
            <w:left w:w="108" w:type="dxa"/>
            <w:bottom w:w="0" w:type="dxa"/>
            <w:right w:w="108" w:type="dxa"/>
          </w:tblCellMar>
        </w:tblPrEx>
        <w:trPr>
          <w:trHeight w:val="320" w:hRule="atLeast"/>
        </w:trPr>
        <w:tc>
          <w:tcPr>
            <w:tcW w:w="510" w:type="pct"/>
            <w:vMerge w:val="restart"/>
            <w:tcBorders>
              <w:top w:val="nil"/>
              <w:left w:val="single" w:color="auto" w:sz="4" w:space="0"/>
              <w:right w:val="single" w:color="auto" w:sz="4" w:space="0"/>
            </w:tcBorders>
            <w:vAlign w:val="center"/>
          </w:tcPr>
          <w:p>
            <w:pPr>
              <w:widowControl/>
              <w:jc w:val="center"/>
              <w:rPr>
                <w:color w:val="000000"/>
                <w:szCs w:val="21"/>
              </w:rPr>
            </w:pPr>
            <w:r>
              <w:rPr>
                <w:color w:val="000000"/>
                <w:szCs w:val="21"/>
              </w:rPr>
              <w:t>2</w:t>
            </w:r>
          </w:p>
        </w:tc>
        <w:tc>
          <w:tcPr>
            <w:tcW w:w="1112" w:type="pct"/>
            <w:tcBorders>
              <w:top w:val="nil"/>
              <w:left w:val="nil"/>
              <w:bottom w:val="single" w:color="auto" w:sz="4" w:space="0"/>
              <w:right w:val="single" w:color="auto" w:sz="4" w:space="0"/>
            </w:tcBorders>
            <w:vAlign w:val="center"/>
          </w:tcPr>
          <w:p>
            <w:pPr>
              <w:widowControl/>
              <w:rPr>
                <w:szCs w:val="21"/>
              </w:rPr>
            </w:pPr>
            <w:r>
              <w:rPr>
                <w:szCs w:val="21"/>
              </w:rPr>
              <w:t>a)集成XML在线生产系统</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必须与XML在线生产系统集成，实现文章数据的自动发布。</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b)期刊网刊模块</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实现期刊最新录用、优先出版（预出版）、当期目录、过刊目录、编辑推荐、封面文章、专题文章等功能</w:t>
            </w:r>
            <w:r>
              <w:rPr>
                <w:rFonts w:hint="eastAsia"/>
                <w:szCs w:val="21"/>
              </w:rPr>
              <w:t>。</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c)响应式平台</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实现系统自适应浏览器终端屏幕（如手机、iPad、微信公众平台等终端）以满足移动出版的需求</w:t>
            </w:r>
            <w:r>
              <w:rPr>
                <w:rFonts w:hint="eastAsia"/>
                <w:szCs w:val="21"/>
              </w:rPr>
              <w:t>。</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d)以XML作为数据导入方式</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平台以XML作为数据来源，同步实现网刊元数据、XML/HTML等数据内容的发布</w:t>
            </w:r>
            <w:r>
              <w:rPr>
                <w:rFonts w:hint="eastAsia"/>
                <w:szCs w:val="21"/>
              </w:rPr>
              <w:t>。</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e)文章元数据结构化扩展显示</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在文章显示页，对作者、关键词、作者单位、基金项目等项目进行关联显示，分别扩展显示同作者文章列表，同关键词文章列表、机构单位详细展示及发表文章展示、基金项目详细展示及发表文章展示等。</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f)全方位检索功能</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除元数据（即标题、作者、单位、关键词等信息）检索外，还实现论文全文检索、图检索、表检索、DOI检索、新闻信息检索。</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g)文章被引信息统计</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网站实现文章被引信息更新及显示，包括展示被引数量和施引文献信息。</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h)网站表现力云监控</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实时监测并展现文章新增被引量、近期文章访问情况、近期科研单位访问情况与近期搜索热词分布情况</w:t>
            </w:r>
            <w:r>
              <w:rPr>
                <w:rFonts w:hint="eastAsia"/>
                <w:szCs w:val="21"/>
              </w:rPr>
              <w:t>等十余项的统计分析</w:t>
            </w:r>
            <w:r>
              <w:rPr>
                <w:szCs w:val="21"/>
              </w:rPr>
              <w:t>。</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bottom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i)微信图文分享文章</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网站建设有文章通过微信图文链接分享功能，链接自动包含标题、作者、和文章图片。</w:t>
            </w:r>
          </w:p>
        </w:tc>
      </w:tr>
      <w:tr>
        <w:tblPrEx>
          <w:tblCellMar>
            <w:top w:w="0" w:type="dxa"/>
            <w:left w:w="108" w:type="dxa"/>
            <w:bottom w:w="0" w:type="dxa"/>
            <w:right w:w="108" w:type="dxa"/>
          </w:tblCellMar>
        </w:tblPrEx>
        <w:trPr>
          <w:trHeight w:val="320" w:hRule="atLeast"/>
        </w:trPr>
        <w:tc>
          <w:tcPr>
            <w:tcW w:w="510" w:type="pct"/>
            <w:vMerge w:val="restart"/>
            <w:tcBorders>
              <w:top w:val="nil"/>
              <w:left w:val="single" w:color="auto" w:sz="4" w:space="0"/>
              <w:right w:val="single" w:color="auto" w:sz="4" w:space="0"/>
            </w:tcBorders>
            <w:vAlign w:val="center"/>
          </w:tcPr>
          <w:p>
            <w:pPr>
              <w:widowControl/>
              <w:jc w:val="center"/>
              <w:rPr>
                <w:color w:val="000000"/>
                <w:szCs w:val="21"/>
              </w:rPr>
            </w:pPr>
            <w:r>
              <w:rPr>
                <w:color w:val="000000"/>
                <w:szCs w:val="21"/>
              </w:rPr>
              <w:t>3</w:t>
            </w:r>
          </w:p>
        </w:tc>
        <w:tc>
          <w:tcPr>
            <w:tcW w:w="1112" w:type="pct"/>
            <w:tcBorders>
              <w:top w:val="nil"/>
              <w:left w:val="nil"/>
              <w:bottom w:val="single" w:color="auto" w:sz="4" w:space="0"/>
              <w:right w:val="single" w:color="auto" w:sz="4" w:space="0"/>
            </w:tcBorders>
            <w:vAlign w:val="center"/>
          </w:tcPr>
          <w:p>
            <w:pPr>
              <w:widowControl/>
              <w:rPr>
                <w:szCs w:val="21"/>
              </w:rPr>
            </w:pPr>
            <w:r>
              <w:rPr>
                <w:szCs w:val="21"/>
              </w:rPr>
              <w:t>a)构建微信</w:t>
            </w:r>
            <w:r>
              <w:rPr>
                <w:rFonts w:hint="eastAsia"/>
                <w:szCs w:val="21"/>
              </w:rPr>
              <w:t>公众号</w:t>
            </w:r>
            <w:r>
              <w:rPr>
                <w:szCs w:val="21"/>
              </w:rPr>
              <w:t>与网刊在线发布一体化系统</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构建微信</w:t>
            </w:r>
            <w:r>
              <w:rPr>
                <w:rFonts w:hint="eastAsia"/>
                <w:szCs w:val="21"/>
              </w:rPr>
              <w:t>公众号服务号</w:t>
            </w:r>
            <w:r>
              <w:rPr>
                <w:szCs w:val="21"/>
              </w:rPr>
              <w:t>平台与网刊在线发布一体化系统，实现两个系统数据同步发布</w:t>
            </w:r>
            <w:r>
              <w:rPr>
                <w:rFonts w:hint="eastAsia"/>
                <w:szCs w:val="21"/>
              </w:rPr>
              <w:t>。</w:t>
            </w:r>
          </w:p>
        </w:tc>
      </w:tr>
      <w:tr>
        <w:tblPrEx>
          <w:tblCellMar>
            <w:top w:w="0" w:type="dxa"/>
            <w:left w:w="108" w:type="dxa"/>
            <w:bottom w:w="0" w:type="dxa"/>
            <w:right w:w="108" w:type="dxa"/>
          </w:tblCellMar>
        </w:tblPrEx>
        <w:trPr>
          <w:trHeight w:val="320" w:hRule="atLeast"/>
        </w:trPr>
        <w:tc>
          <w:tcPr>
            <w:tcW w:w="510" w:type="pct"/>
            <w:vMerge w:val="continue"/>
            <w:tcBorders>
              <w:left w:val="single" w:color="auto" w:sz="4" w:space="0"/>
              <w:bottom w:val="single" w:color="auto" w:sz="4" w:space="0"/>
              <w:right w:val="single" w:color="auto" w:sz="4" w:space="0"/>
            </w:tcBorders>
            <w:vAlign w:val="center"/>
          </w:tcPr>
          <w:p>
            <w:pPr>
              <w:widowControl/>
              <w:jc w:val="center"/>
              <w:rPr>
                <w:color w:val="000000"/>
                <w:szCs w:val="21"/>
              </w:rPr>
            </w:pPr>
          </w:p>
        </w:tc>
        <w:tc>
          <w:tcPr>
            <w:tcW w:w="1112" w:type="pct"/>
            <w:tcBorders>
              <w:top w:val="nil"/>
              <w:left w:val="nil"/>
              <w:bottom w:val="single" w:color="auto" w:sz="4" w:space="0"/>
              <w:right w:val="single" w:color="auto" w:sz="4" w:space="0"/>
            </w:tcBorders>
            <w:vAlign w:val="center"/>
          </w:tcPr>
          <w:p>
            <w:pPr>
              <w:widowControl/>
              <w:rPr>
                <w:szCs w:val="21"/>
              </w:rPr>
            </w:pPr>
            <w:r>
              <w:rPr>
                <w:szCs w:val="21"/>
              </w:rPr>
              <w:t>b)作者实名制绑定微信公众号、精准推送</w:t>
            </w:r>
          </w:p>
        </w:tc>
        <w:tc>
          <w:tcPr>
            <w:tcW w:w="3378" w:type="pct"/>
            <w:tcBorders>
              <w:top w:val="nil"/>
              <w:left w:val="nil"/>
              <w:bottom w:val="single" w:color="auto" w:sz="4" w:space="0"/>
              <w:right w:val="single" w:color="auto" w:sz="4" w:space="0"/>
            </w:tcBorders>
            <w:vAlign w:val="center"/>
          </w:tcPr>
          <w:p>
            <w:pPr>
              <w:widowControl/>
              <w:rPr>
                <w:szCs w:val="21"/>
              </w:rPr>
            </w:pPr>
            <w:r>
              <w:rPr>
                <w:szCs w:val="21"/>
              </w:rPr>
              <w:t>XML生产系统与微信公众号完全绑定，并且是实名制</w:t>
            </w:r>
            <w:r>
              <w:rPr>
                <w:rFonts w:hint="eastAsia"/>
                <w:szCs w:val="21"/>
              </w:rPr>
              <w:t>绑定。</w:t>
            </w:r>
            <w:r>
              <w:rPr>
                <w:szCs w:val="21"/>
              </w:rPr>
              <w:t>文章在生产过程中的状态变化作者可以收到微信即时消息提醒；要求XML生产系统引入基于微信的即时对话，编辑老师和作者可以在线直接发送或回复信息，系统保留对话记录可查询回溯；要求微信公众号即时给作者推送文章被引信息</w:t>
            </w:r>
            <w:r>
              <w:rPr>
                <w:rFonts w:hint="eastAsia"/>
                <w:szCs w:val="21"/>
              </w:rPr>
              <w:t>、相关文章信息以及文章表现力。</w:t>
            </w:r>
          </w:p>
        </w:tc>
      </w:tr>
    </w:tbl>
    <w:p>
      <w:pPr>
        <w:rPr>
          <w:sz w:val="32"/>
          <w:szCs w:val="32"/>
        </w:rPr>
      </w:pPr>
      <w:bookmarkStart w:id="1" w:name="_6.1.2、容器服务器"/>
      <w:bookmarkEnd w:id="1"/>
    </w:p>
    <w:p>
      <w:pPr>
        <w:pStyle w:val="2"/>
        <w:numPr>
          <w:ilvl w:val="0"/>
          <w:numId w:val="2"/>
        </w:numPr>
        <w:spacing w:before="0" w:after="0"/>
        <w:rPr>
          <w:rFonts w:ascii="宋体" w:hAnsi="宋体"/>
          <w:sz w:val="21"/>
          <w:szCs w:val="21"/>
        </w:rPr>
      </w:pPr>
      <w:r>
        <w:rPr>
          <w:rFonts w:hint="eastAsia" w:ascii="宋体" w:hAnsi="宋体"/>
          <w:sz w:val="32"/>
          <w:szCs w:val="32"/>
        </w:rPr>
        <w:t>项目工期</w:t>
      </w:r>
    </w:p>
    <w:p>
      <w:pPr>
        <w:numPr>
          <w:ilvl w:val="0"/>
          <w:numId w:val="3"/>
        </w:numPr>
        <w:tabs>
          <w:tab w:val="left" w:pos="420"/>
          <w:tab w:val="left" w:pos="780"/>
        </w:tabs>
        <w:spacing w:beforeLines="50" w:line="360" w:lineRule="auto"/>
        <w:outlineLvl w:val="0"/>
        <w:rPr>
          <w:rFonts w:ascii="宋体" w:hAnsi="宋体" w:cs="宋体"/>
          <w:szCs w:val="21"/>
        </w:rPr>
      </w:pPr>
      <w:r>
        <w:rPr>
          <w:rFonts w:hint="eastAsia" w:ascii="宋体" w:hAnsi="宋体" w:cs="宋体"/>
          <w:szCs w:val="21"/>
        </w:rPr>
        <w:t>自合同签订日起，须在</w:t>
      </w:r>
      <w:r>
        <w:rPr>
          <w:rFonts w:ascii="宋体" w:hAnsi="宋体" w:cs="宋体"/>
          <w:szCs w:val="21"/>
          <w:u w:val="single"/>
        </w:rPr>
        <w:t>5</w:t>
      </w:r>
      <w:r>
        <w:rPr>
          <w:rFonts w:hint="eastAsia" w:ascii="宋体" w:hAnsi="宋体" w:cs="宋体"/>
          <w:szCs w:val="21"/>
        </w:rPr>
        <w:t>个工作日内对《用户需求说明书》进行补充、确认或提出意见。</w:t>
      </w:r>
    </w:p>
    <w:p>
      <w:pPr>
        <w:numPr>
          <w:ilvl w:val="0"/>
          <w:numId w:val="3"/>
        </w:numPr>
        <w:tabs>
          <w:tab w:val="left" w:pos="780"/>
        </w:tabs>
        <w:spacing w:beforeLines="50" w:line="360" w:lineRule="auto"/>
        <w:outlineLvl w:val="0"/>
        <w:rPr>
          <w:rFonts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w:t>
      </w:r>
      <w:r>
        <w:rPr>
          <w:rFonts w:ascii="宋体" w:hAnsi="宋体" w:cs="宋体"/>
          <w:szCs w:val="21"/>
          <w:u w:val="single"/>
        </w:rPr>
        <w:t>5</w:t>
      </w:r>
      <w:r>
        <w:rPr>
          <w:rFonts w:hint="eastAsia" w:ascii="宋体" w:hAnsi="宋体" w:cs="宋体"/>
          <w:szCs w:val="21"/>
        </w:rPr>
        <w:t>个工作日内确认《需求规格说明书》。</w:t>
      </w:r>
    </w:p>
    <w:p>
      <w:pPr>
        <w:numPr>
          <w:ilvl w:val="0"/>
          <w:numId w:val="3"/>
        </w:numPr>
        <w:tabs>
          <w:tab w:val="left" w:pos="780"/>
        </w:tabs>
        <w:spacing w:beforeLines="50" w:line="360" w:lineRule="auto"/>
        <w:outlineLvl w:val="0"/>
        <w:rPr>
          <w:rFonts w:ascii="宋体" w:hAnsi="宋体" w:cs="宋体"/>
          <w:szCs w:val="21"/>
        </w:rPr>
      </w:pPr>
      <w:r>
        <w:rPr>
          <w:rFonts w:hint="eastAsia" w:ascii="宋体" w:hAnsi="宋体" w:cs="宋体"/>
          <w:szCs w:val="21"/>
        </w:rPr>
        <w:t>须在《需求规格说明书》确认后的</w:t>
      </w:r>
      <w:r>
        <w:rPr>
          <w:rFonts w:ascii="宋体" w:hAnsi="宋体" w:cs="宋体"/>
          <w:szCs w:val="21"/>
          <w:u w:val="single"/>
        </w:rPr>
        <w:t>30</w:t>
      </w:r>
      <w:r>
        <w:rPr>
          <w:rFonts w:hint="eastAsia" w:ascii="宋体" w:hAnsi="宋体" w:cs="宋体"/>
          <w:szCs w:val="21"/>
        </w:rPr>
        <w:t>个工作日内完成实施导入和保证系统正常工作。</w:t>
      </w:r>
    </w:p>
    <w:p>
      <w:pPr>
        <w:numPr>
          <w:ilvl w:val="0"/>
          <w:numId w:val="3"/>
        </w:numPr>
        <w:tabs>
          <w:tab w:val="left" w:pos="780"/>
        </w:tabs>
        <w:spacing w:beforeLines="50" w:line="360" w:lineRule="auto"/>
        <w:outlineLvl w:val="0"/>
        <w:rPr>
          <w:rFonts w:ascii="宋体" w:hAnsi="宋体" w:cs="宋体"/>
          <w:szCs w:val="21"/>
        </w:rPr>
      </w:pPr>
      <w:r>
        <w:rPr>
          <w:rFonts w:hint="eastAsia" w:ascii="宋体" w:hAnsi="宋体" w:cs="宋体"/>
          <w:szCs w:val="21"/>
        </w:rPr>
        <w:t>完成软件实施，并根据院方提出的新需求完成修改后，系统运行</w:t>
      </w:r>
      <w:r>
        <w:rPr>
          <w:rFonts w:hint="eastAsia" w:ascii="宋体" w:hAnsi="宋体" w:cs="宋体"/>
          <w:szCs w:val="21"/>
          <w:u w:val="single"/>
        </w:rPr>
        <w:t xml:space="preserve"> </w:t>
      </w:r>
      <w:r>
        <w:rPr>
          <w:rFonts w:ascii="宋体" w:hAnsi="宋体" w:cs="宋体"/>
          <w:szCs w:val="21"/>
          <w:u w:val="single"/>
        </w:rPr>
        <w:t>1</w:t>
      </w:r>
      <w:r>
        <w:rPr>
          <w:rFonts w:hint="eastAsia" w:ascii="宋体" w:hAnsi="宋体" w:cs="宋体"/>
          <w:szCs w:val="21"/>
        </w:rPr>
        <w:t>个月以上无软件故障出现，则向院方申请验收。</w:t>
      </w:r>
    </w:p>
    <w:p/>
    <w:p>
      <w:pPr>
        <w:pStyle w:val="2"/>
        <w:numPr>
          <w:ilvl w:val="0"/>
          <w:numId w:val="2"/>
        </w:numPr>
        <w:spacing w:before="0" w:after="0"/>
        <w:rPr>
          <w:rFonts w:ascii="宋体" w:hAnsi="宋体"/>
          <w:color w:val="FF0000"/>
          <w:sz w:val="32"/>
          <w:szCs w:val="32"/>
        </w:rPr>
      </w:pPr>
      <w:r>
        <w:rPr>
          <w:rFonts w:hint="eastAsia" w:ascii="宋体" w:hAnsi="宋体"/>
          <w:sz w:val="32"/>
          <w:szCs w:val="32"/>
        </w:rPr>
        <w:t>集成技术及实施</w:t>
      </w:r>
      <w:r>
        <w:rPr>
          <w:rFonts w:ascii="宋体" w:hAnsi="宋体"/>
          <w:sz w:val="32"/>
          <w:szCs w:val="32"/>
        </w:rPr>
        <w:t>服务要求</w:t>
      </w:r>
    </w:p>
    <w:p>
      <w:pPr>
        <w:spacing w:line="360" w:lineRule="auto"/>
        <w:ind w:left="425"/>
        <w:rPr>
          <w:rFonts w:ascii="宋体" w:hAnsi="宋体" w:cs="宋体"/>
          <w:color w:val="000000" w:themeColor="text1"/>
          <w:szCs w:val="21"/>
        </w:rPr>
      </w:pPr>
      <w:r>
        <w:rPr>
          <w:rFonts w:hint="eastAsia" w:ascii="宋体" w:hAnsi="宋体" w:cs="宋体"/>
          <w:color w:val="000000" w:themeColor="text1"/>
          <w:szCs w:val="21"/>
        </w:rPr>
        <w:t>项目实施</w:t>
      </w:r>
      <w:r>
        <w:rPr>
          <w:rFonts w:ascii="宋体" w:hAnsi="宋体" w:cs="宋体"/>
          <w:color w:val="000000" w:themeColor="text1"/>
          <w:szCs w:val="21"/>
        </w:rPr>
        <w:t>期</w:t>
      </w:r>
      <w:r>
        <w:rPr>
          <w:rFonts w:hint="eastAsia" w:ascii="宋体" w:hAnsi="宋体" w:cs="宋体"/>
          <w:color w:val="000000" w:themeColor="text1"/>
          <w:szCs w:val="21"/>
        </w:rPr>
        <w:t>内承建商提供</w:t>
      </w:r>
      <w:r>
        <w:rPr>
          <w:rFonts w:hint="eastAsia" w:ascii="宋体" w:hAnsi="宋体" w:cs="宋体"/>
          <w:color w:val="000000" w:themeColor="text1"/>
          <w:szCs w:val="21"/>
          <w:u w:val="single"/>
        </w:rPr>
        <w:t>3-6</w:t>
      </w:r>
      <w:r>
        <w:rPr>
          <w:rFonts w:hint="eastAsia" w:ascii="宋体" w:hAnsi="宋体" w:cs="宋体"/>
          <w:color w:val="000000" w:themeColor="text1"/>
          <w:szCs w:val="21"/>
        </w:rPr>
        <w:t>名专职工程师，</w:t>
      </w:r>
      <w:r>
        <w:rPr>
          <w:rFonts w:hint="eastAsia" w:ascii="宋体" w:hAnsi="宋体" w:cs="宋体"/>
          <w:color w:val="000000" w:themeColor="text1"/>
          <w:szCs w:val="21"/>
          <w:u w:val="single"/>
        </w:rPr>
        <w:t>远程沟通</w:t>
      </w:r>
      <w:r>
        <w:rPr>
          <w:rFonts w:hint="eastAsia" w:ascii="宋体" w:hAnsi="宋体" w:cs="宋体"/>
          <w:color w:val="000000" w:themeColor="text1"/>
          <w:szCs w:val="21"/>
        </w:rPr>
        <w:t>搭建循证医学XML一体化融合出版平台</w:t>
      </w:r>
      <w:r>
        <w:rPr>
          <w:rFonts w:ascii="宋体" w:hAnsi="宋体" w:cs="宋体"/>
          <w:color w:val="000000" w:themeColor="text1"/>
          <w:szCs w:val="21"/>
        </w:rPr>
        <w:t>，</w:t>
      </w:r>
    </w:p>
    <w:p>
      <w:pPr>
        <w:spacing w:line="360" w:lineRule="auto"/>
        <w:rPr>
          <w:rFonts w:ascii="微软雅黑" w:hAnsi="微软雅黑" w:eastAsia="微软雅黑"/>
          <w:color w:val="000000" w:themeColor="text1"/>
          <w:sz w:val="20"/>
        </w:rPr>
      </w:pPr>
      <w:r>
        <w:rPr>
          <w:rFonts w:hint="eastAsia" w:ascii="宋体" w:hAnsi="宋体" w:cs="宋体"/>
          <w:color w:val="000000" w:themeColor="text1"/>
          <w:szCs w:val="21"/>
        </w:rPr>
        <w:t>工作时间与院方工作时间一致，并且提供7*24小时响应服务。</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验收由承建商给出具体的验收计划、测试的内容和方法，经院方审核通过后，方可进行验收测试。</w:t>
      </w:r>
    </w:p>
    <w:p/>
    <w:p>
      <w:pPr>
        <w:pStyle w:val="2"/>
        <w:numPr>
          <w:ilvl w:val="0"/>
          <w:numId w:val="2"/>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软件维护期从合同标的验收合格之日算起，期限为</w:t>
      </w:r>
      <w:r>
        <w:rPr>
          <w:rFonts w:ascii="宋体" w:hAnsi="宋体" w:cs="宋体"/>
          <w:szCs w:val="21"/>
          <w:u w:val="single"/>
        </w:rPr>
        <w:t>3</w:t>
      </w:r>
      <w:r>
        <w:rPr>
          <w:rFonts w:hint="eastAsia" w:ascii="宋体" w:hAnsi="宋体" w:cs="宋体"/>
          <w:szCs w:val="21"/>
        </w:rPr>
        <w:t>个月。在维护期内，承建商提供技术支持和指导，以及软件的局部改进完善以及故障情况下的现场问题解决。</w:t>
      </w:r>
    </w:p>
    <w:p>
      <w:pPr>
        <w:tabs>
          <w:tab w:val="left" w:pos="780"/>
        </w:tabs>
        <w:spacing w:beforeLines="50" w:line="360" w:lineRule="auto"/>
        <w:ind w:firstLine="420" w:firstLineChars="200"/>
        <w:outlineLvl w:val="0"/>
        <w:rPr>
          <w:rFonts w:ascii="宋体" w:hAnsi="宋体" w:cs="宋体"/>
          <w:color w:val="000000" w:themeColor="text1"/>
          <w:szCs w:val="21"/>
        </w:rPr>
      </w:pPr>
      <w:r>
        <w:rPr>
          <w:rFonts w:hint="eastAsia" w:ascii="宋体" w:hAnsi="宋体" w:cs="宋体"/>
          <w:color w:val="000000" w:themeColor="text1"/>
          <w:szCs w:val="21"/>
        </w:rPr>
        <w:t>维保期内承建商为院方提供维护及服务的部门及固定的专职技术人员。承建商提供</w:t>
      </w:r>
      <w:r>
        <w:rPr>
          <w:rFonts w:hint="eastAsia" w:ascii="宋体" w:hAnsi="宋体" w:cs="宋体"/>
          <w:color w:val="000000" w:themeColor="text1"/>
          <w:szCs w:val="21"/>
          <w:u w:val="single"/>
        </w:rPr>
        <w:t>3-6</w:t>
      </w:r>
      <w:r>
        <w:rPr>
          <w:rFonts w:ascii="宋体" w:hAnsi="宋体" w:cs="宋体"/>
          <w:color w:val="000000" w:themeColor="text1"/>
          <w:szCs w:val="21"/>
          <w:u w:val="single"/>
        </w:rPr>
        <w:t xml:space="preserve"> </w:t>
      </w:r>
      <w:r>
        <w:rPr>
          <w:rFonts w:hint="eastAsia" w:ascii="宋体" w:hAnsi="宋体" w:cs="宋体"/>
          <w:color w:val="000000" w:themeColor="text1"/>
          <w:szCs w:val="21"/>
        </w:rPr>
        <w:t>名专职工程师进行</w:t>
      </w:r>
      <w:r>
        <w:rPr>
          <w:rFonts w:hint="eastAsia" w:ascii="宋体" w:hAnsi="宋体" w:cs="宋体"/>
          <w:color w:val="000000" w:themeColor="text1"/>
          <w:szCs w:val="21"/>
          <w:u w:val="single"/>
        </w:rPr>
        <w:t>远程维护服务</w:t>
      </w:r>
      <w:r>
        <w:rPr>
          <w:rFonts w:hint="eastAsia" w:ascii="宋体" w:hAnsi="宋体" w:cs="宋体"/>
          <w:color w:val="000000" w:themeColor="text1"/>
          <w:szCs w:val="21"/>
        </w:rPr>
        <w:t>，工作时间与院方工作时间一致，并且提供7*24小时响应服务。</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超过维护期的，双方另行协商签订维护合同，服务方报价不超过合同软件部分金额的8%。</w:t>
      </w:r>
    </w:p>
    <w:p>
      <w:pPr>
        <w:pStyle w:val="2"/>
        <w:numPr>
          <w:ilvl w:val="0"/>
          <w:numId w:val="2"/>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630" w:firstLineChars="300"/>
        <w:rPr>
          <w:rFonts w:ascii="宋体" w:hAnsi="宋体" w:cs="宋体"/>
          <w:szCs w:val="21"/>
        </w:rPr>
      </w:pPr>
      <w:r>
        <w:rPr>
          <w:rFonts w:hint="eastAsia" w:ascii="宋体" w:hAnsi="宋体" w:cs="宋体"/>
          <w:szCs w:val="21"/>
        </w:rPr>
        <w:t>(一)合同签订后，在收到承建商开具相应金额正式发票后，支付合同总金额的30%。</w:t>
      </w:r>
    </w:p>
    <w:p>
      <w:pPr>
        <w:spacing w:line="360" w:lineRule="auto"/>
        <w:ind w:firstLine="630" w:firstLineChars="300"/>
        <w:rPr>
          <w:rFonts w:ascii="宋体" w:hAnsi="宋体" w:cs="宋体"/>
          <w:szCs w:val="21"/>
        </w:rPr>
      </w:pPr>
      <w:r>
        <w:rPr>
          <w:rFonts w:hint="eastAsia" w:ascii="宋体" w:hAnsi="宋体" w:cs="宋体"/>
          <w:szCs w:val="21"/>
        </w:rPr>
        <w:t>(二)软件验收通过后，在收到承建商开具相应金额正式发票后，支付合同总金额的65%。</w:t>
      </w:r>
    </w:p>
    <w:p>
      <w:pPr>
        <w:spacing w:line="360" w:lineRule="auto"/>
        <w:ind w:firstLine="630" w:firstLineChars="300"/>
        <w:rPr>
          <w:rFonts w:ascii="宋体" w:hAnsi="宋体" w:cs="宋体"/>
          <w:szCs w:val="21"/>
        </w:rPr>
      </w:pPr>
      <w:r>
        <w:rPr>
          <w:rFonts w:hint="eastAsia" w:ascii="宋体" w:hAnsi="宋体" w:cs="宋体"/>
          <w:szCs w:val="21"/>
        </w:rPr>
        <w:t>(三)</w:t>
      </w:r>
      <w:bookmarkStart w:id="2" w:name="_GoBack"/>
      <w:bookmarkEnd w:id="2"/>
      <w:r>
        <w:rPr>
          <w:rFonts w:hint="eastAsia" w:ascii="宋体" w:hAnsi="宋体" w:cs="宋体"/>
          <w:szCs w:val="21"/>
        </w:rPr>
        <w:t>维护期结束后，由院方对承建商在服务期内应完成任务进行确认并通过后1个月内，支付最后一笔尾款。</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4</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lvlText w:val="5.1.1.%4"/>
      <w:lvlJc w:val="left"/>
      <w:pPr>
        <w:ind w:left="864" w:hanging="864"/>
      </w:pPr>
      <w:rPr>
        <w:rFonts w:hint="eastAsia"/>
      </w:rPr>
    </w:lvl>
    <w:lvl w:ilvl="4" w:tentative="0">
      <w:start w:val="1"/>
      <w:numFmt w:val="decimal"/>
      <w:lvlText w:val="5.1.1.1.%5"/>
      <w:lvlJc w:val="left"/>
      <w:pPr>
        <w:ind w:left="2142"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WQ1ODhhZDZkZmEzODgwMWZiOGE2MmFjYWE3ODAifQ=="/>
  </w:docVars>
  <w:rsids>
    <w:rsidRoot w:val="00303343"/>
    <w:rsid w:val="000051D2"/>
    <w:rsid w:val="000079DD"/>
    <w:rsid w:val="00012DCC"/>
    <w:rsid w:val="00015AA8"/>
    <w:rsid w:val="00016B63"/>
    <w:rsid w:val="00042DAC"/>
    <w:rsid w:val="0004334E"/>
    <w:rsid w:val="00046B39"/>
    <w:rsid w:val="00054706"/>
    <w:rsid w:val="00066DE7"/>
    <w:rsid w:val="00074EDD"/>
    <w:rsid w:val="000757C1"/>
    <w:rsid w:val="0007780E"/>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0BD3"/>
    <w:rsid w:val="001D4A68"/>
    <w:rsid w:val="001D7749"/>
    <w:rsid w:val="001E3B38"/>
    <w:rsid w:val="001F20C2"/>
    <w:rsid w:val="00200054"/>
    <w:rsid w:val="002000DE"/>
    <w:rsid w:val="00202EFF"/>
    <w:rsid w:val="0020509F"/>
    <w:rsid w:val="00207A96"/>
    <w:rsid w:val="00214A6F"/>
    <w:rsid w:val="00221F1F"/>
    <w:rsid w:val="00223E47"/>
    <w:rsid w:val="00241D77"/>
    <w:rsid w:val="0024384E"/>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1E6F"/>
    <w:rsid w:val="00352E7C"/>
    <w:rsid w:val="00353276"/>
    <w:rsid w:val="00360458"/>
    <w:rsid w:val="003666DD"/>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0FBF"/>
    <w:rsid w:val="00413DA3"/>
    <w:rsid w:val="00414171"/>
    <w:rsid w:val="0041787F"/>
    <w:rsid w:val="00423450"/>
    <w:rsid w:val="0042702D"/>
    <w:rsid w:val="00435C81"/>
    <w:rsid w:val="00437B0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272E6"/>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47994"/>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48A8"/>
    <w:rsid w:val="00795F59"/>
    <w:rsid w:val="007C0A5B"/>
    <w:rsid w:val="007D22AB"/>
    <w:rsid w:val="007E1ADE"/>
    <w:rsid w:val="007E71E6"/>
    <w:rsid w:val="007F5726"/>
    <w:rsid w:val="0081575E"/>
    <w:rsid w:val="008168FB"/>
    <w:rsid w:val="00822BA6"/>
    <w:rsid w:val="008419E9"/>
    <w:rsid w:val="008548FB"/>
    <w:rsid w:val="008623FD"/>
    <w:rsid w:val="00866774"/>
    <w:rsid w:val="008735F6"/>
    <w:rsid w:val="00873B97"/>
    <w:rsid w:val="008A62AC"/>
    <w:rsid w:val="008A659B"/>
    <w:rsid w:val="008B2206"/>
    <w:rsid w:val="008C255D"/>
    <w:rsid w:val="008D3291"/>
    <w:rsid w:val="008D59AA"/>
    <w:rsid w:val="008E145D"/>
    <w:rsid w:val="008E2B56"/>
    <w:rsid w:val="008E570C"/>
    <w:rsid w:val="008E69C8"/>
    <w:rsid w:val="00900232"/>
    <w:rsid w:val="00900BAA"/>
    <w:rsid w:val="00901F6A"/>
    <w:rsid w:val="00903734"/>
    <w:rsid w:val="00903878"/>
    <w:rsid w:val="00903B20"/>
    <w:rsid w:val="00903CF6"/>
    <w:rsid w:val="009052C7"/>
    <w:rsid w:val="009054FA"/>
    <w:rsid w:val="00905FFA"/>
    <w:rsid w:val="0092017A"/>
    <w:rsid w:val="00922032"/>
    <w:rsid w:val="00925C23"/>
    <w:rsid w:val="00927E08"/>
    <w:rsid w:val="009303FA"/>
    <w:rsid w:val="00941F0C"/>
    <w:rsid w:val="00943004"/>
    <w:rsid w:val="00947A51"/>
    <w:rsid w:val="00966A88"/>
    <w:rsid w:val="00973A47"/>
    <w:rsid w:val="00981ED8"/>
    <w:rsid w:val="009822C7"/>
    <w:rsid w:val="00982AA3"/>
    <w:rsid w:val="009863EF"/>
    <w:rsid w:val="00986A41"/>
    <w:rsid w:val="0098719A"/>
    <w:rsid w:val="00987F54"/>
    <w:rsid w:val="00991FF2"/>
    <w:rsid w:val="0099315B"/>
    <w:rsid w:val="00995DD9"/>
    <w:rsid w:val="009B4476"/>
    <w:rsid w:val="009C1F02"/>
    <w:rsid w:val="009C3783"/>
    <w:rsid w:val="009C4E7E"/>
    <w:rsid w:val="009D6951"/>
    <w:rsid w:val="009D7DD1"/>
    <w:rsid w:val="009E0351"/>
    <w:rsid w:val="009E214B"/>
    <w:rsid w:val="009E53AF"/>
    <w:rsid w:val="009F0270"/>
    <w:rsid w:val="009F61FA"/>
    <w:rsid w:val="00A05796"/>
    <w:rsid w:val="00A11F65"/>
    <w:rsid w:val="00A13BDB"/>
    <w:rsid w:val="00A13CB0"/>
    <w:rsid w:val="00A14FD8"/>
    <w:rsid w:val="00A22CA1"/>
    <w:rsid w:val="00A40103"/>
    <w:rsid w:val="00A419FD"/>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0263"/>
    <w:rsid w:val="00B12138"/>
    <w:rsid w:val="00B17749"/>
    <w:rsid w:val="00B17AE9"/>
    <w:rsid w:val="00B17C05"/>
    <w:rsid w:val="00B20334"/>
    <w:rsid w:val="00B20819"/>
    <w:rsid w:val="00B225B9"/>
    <w:rsid w:val="00B24AB1"/>
    <w:rsid w:val="00B330F4"/>
    <w:rsid w:val="00B36BD9"/>
    <w:rsid w:val="00B370F7"/>
    <w:rsid w:val="00B418E3"/>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9373B"/>
    <w:rsid w:val="00BA5A2D"/>
    <w:rsid w:val="00BA5B8F"/>
    <w:rsid w:val="00BB2B54"/>
    <w:rsid w:val="00BC3CA1"/>
    <w:rsid w:val="00BC49E5"/>
    <w:rsid w:val="00BC6DB1"/>
    <w:rsid w:val="00BD3194"/>
    <w:rsid w:val="00BD5FA8"/>
    <w:rsid w:val="00BE23E5"/>
    <w:rsid w:val="00BE31E6"/>
    <w:rsid w:val="00BF757E"/>
    <w:rsid w:val="00BF7C0E"/>
    <w:rsid w:val="00BF7F5A"/>
    <w:rsid w:val="00C01B02"/>
    <w:rsid w:val="00C17719"/>
    <w:rsid w:val="00C20730"/>
    <w:rsid w:val="00C2470A"/>
    <w:rsid w:val="00C335D8"/>
    <w:rsid w:val="00C50E12"/>
    <w:rsid w:val="00C54491"/>
    <w:rsid w:val="00C61724"/>
    <w:rsid w:val="00C71B43"/>
    <w:rsid w:val="00C74D8F"/>
    <w:rsid w:val="00C751A9"/>
    <w:rsid w:val="00C766DD"/>
    <w:rsid w:val="00C76BDF"/>
    <w:rsid w:val="00C775CE"/>
    <w:rsid w:val="00C8030E"/>
    <w:rsid w:val="00C8720F"/>
    <w:rsid w:val="00C87C11"/>
    <w:rsid w:val="00C91697"/>
    <w:rsid w:val="00C92EAA"/>
    <w:rsid w:val="00C945B9"/>
    <w:rsid w:val="00C94FC4"/>
    <w:rsid w:val="00CA148F"/>
    <w:rsid w:val="00CA29F9"/>
    <w:rsid w:val="00CB6B73"/>
    <w:rsid w:val="00CC218D"/>
    <w:rsid w:val="00CC6334"/>
    <w:rsid w:val="00CC677A"/>
    <w:rsid w:val="00CD008E"/>
    <w:rsid w:val="00CD49B4"/>
    <w:rsid w:val="00CD6EDC"/>
    <w:rsid w:val="00CE00A5"/>
    <w:rsid w:val="00CE2D1F"/>
    <w:rsid w:val="00CF1561"/>
    <w:rsid w:val="00CF1A40"/>
    <w:rsid w:val="00CF36EF"/>
    <w:rsid w:val="00CF4AE2"/>
    <w:rsid w:val="00D1110F"/>
    <w:rsid w:val="00D15B10"/>
    <w:rsid w:val="00D23E20"/>
    <w:rsid w:val="00D24437"/>
    <w:rsid w:val="00D30FA6"/>
    <w:rsid w:val="00D32842"/>
    <w:rsid w:val="00D37021"/>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C7A5D"/>
    <w:rsid w:val="00DD3DE6"/>
    <w:rsid w:val="00DE4534"/>
    <w:rsid w:val="00DF3D3A"/>
    <w:rsid w:val="00DF4228"/>
    <w:rsid w:val="00E06670"/>
    <w:rsid w:val="00E17266"/>
    <w:rsid w:val="00E26F5E"/>
    <w:rsid w:val="00E41E33"/>
    <w:rsid w:val="00E45268"/>
    <w:rsid w:val="00E47752"/>
    <w:rsid w:val="00E53030"/>
    <w:rsid w:val="00E535C9"/>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07683E04"/>
    <w:rsid w:val="42200080"/>
    <w:rsid w:val="488C5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0"/>
      <w:szCs w:val="30"/>
    </w:rPr>
  </w:style>
  <w:style w:type="paragraph" w:styleId="5">
    <w:name w:val="heading 4"/>
    <w:basedOn w:val="1"/>
    <w:next w:val="1"/>
    <w:link w:val="28"/>
    <w:qFormat/>
    <w:uiPriority w:val="0"/>
    <w:pPr>
      <w:keepNext/>
      <w:keepLines/>
      <w:spacing w:before="280" w:after="290" w:line="376" w:lineRule="auto"/>
      <w:ind w:left="864" w:hanging="864"/>
      <w:outlineLvl w:val="3"/>
    </w:pPr>
    <w:rPr>
      <w:rFonts w:ascii="宋体" w:hAnsi="宋体"/>
      <w:b/>
      <w:bCs/>
      <w:sz w:val="28"/>
      <w:szCs w:val="28"/>
    </w:rPr>
  </w:style>
  <w:style w:type="paragraph" w:styleId="6">
    <w:name w:val="heading 5"/>
    <w:basedOn w:val="1"/>
    <w:next w:val="1"/>
    <w:link w:val="29"/>
    <w:qFormat/>
    <w:uiPriority w:val="0"/>
    <w:pPr>
      <w:keepNext/>
      <w:keepLines/>
      <w:spacing w:before="280" w:after="290" w:line="376" w:lineRule="auto"/>
      <w:ind w:left="2142" w:hanging="1008"/>
      <w:outlineLvl w:val="4"/>
    </w:pPr>
    <w:rPr>
      <w:b/>
      <w:bCs/>
      <w:sz w:val="28"/>
      <w:szCs w:val="28"/>
    </w:rPr>
  </w:style>
  <w:style w:type="paragraph" w:styleId="7">
    <w:name w:val="heading 6"/>
    <w:basedOn w:val="1"/>
    <w:next w:val="1"/>
    <w:link w:val="30"/>
    <w:qFormat/>
    <w:uiPriority w:val="0"/>
    <w:pPr>
      <w:keepNext/>
      <w:keepLines/>
      <w:spacing w:before="240" w:after="64" w:line="320" w:lineRule="auto"/>
      <w:ind w:left="1152" w:hanging="1152"/>
      <w:outlineLvl w:val="5"/>
    </w:pPr>
    <w:rPr>
      <w:rFonts w:ascii="等线 Light" w:hAnsi="等线 Light" w:eastAsia="等线 Light"/>
      <w:b/>
      <w:bCs/>
      <w:sz w:val="24"/>
    </w:rPr>
  </w:style>
  <w:style w:type="paragraph" w:styleId="8">
    <w:name w:val="heading 7"/>
    <w:basedOn w:val="1"/>
    <w:next w:val="1"/>
    <w:link w:val="3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32"/>
    <w:qFormat/>
    <w:uiPriority w:val="0"/>
    <w:pPr>
      <w:keepNext/>
      <w:keepLines/>
      <w:spacing w:before="240" w:after="64" w:line="320" w:lineRule="auto"/>
      <w:ind w:left="1440" w:hanging="1440"/>
      <w:outlineLvl w:val="7"/>
    </w:pPr>
    <w:rPr>
      <w:rFonts w:ascii="等线 Light" w:hAnsi="等线 Light" w:eastAsia="等线 Light"/>
      <w:sz w:val="24"/>
    </w:rPr>
  </w:style>
  <w:style w:type="paragraph" w:styleId="10">
    <w:name w:val="heading 9"/>
    <w:basedOn w:val="1"/>
    <w:next w:val="1"/>
    <w:link w:val="33"/>
    <w:qFormat/>
    <w:uiPriority w:val="0"/>
    <w:pPr>
      <w:keepNext/>
      <w:keepLines/>
      <w:spacing w:before="240" w:after="64" w:line="320" w:lineRule="auto"/>
      <w:ind w:left="1584" w:hanging="1584"/>
      <w:outlineLvl w:val="8"/>
    </w:pPr>
    <w:rPr>
      <w:rFonts w:ascii="等线 Light" w:hAnsi="等线 Light" w:eastAsia="等线 Light"/>
      <w:szCs w:val="21"/>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4"/>
    <w:qFormat/>
    <w:uiPriority w:val="99"/>
    <w:pPr>
      <w:spacing w:beforeLines="50" w:line="360" w:lineRule="auto"/>
      <w:ind w:firstLine="512" w:firstLineChars="200"/>
    </w:pPr>
    <w:rPr>
      <w:spacing w:val="8"/>
      <w:sz w:val="24"/>
      <w:szCs w:val="20"/>
    </w:rPr>
  </w:style>
  <w:style w:type="paragraph" w:styleId="12">
    <w:name w:val="annotation text"/>
    <w:basedOn w:val="1"/>
    <w:link w:val="35"/>
    <w:unhideWhenUsed/>
    <w:qFormat/>
    <w:uiPriority w:val="0"/>
    <w:pPr>
      <w:jc w:val="left"/>
    </w:pPr>
    <w:rPr>
      <w:kern w:val="0"/>
      <w:sz w:val="20"/>
    </w:rPr>
  </w:style>
  <w:style w:type="paragraph" w:styleId="13">
    <w:name w:val="Plain Text"/>
    <w:basedOn w:val="1"/>
    <w:link w:val="36"/>
    <w:uiPriority w:val="0"/>
    <w:rPr>
      <w:rFonts w:ascii="Calibri" w:hAnsi="Courier New"/>
      <w:szCs w:val="20"/>
    </w:rPr>
  </w:style>
  <w:style w:type="paragraph" w:styleId="14">
    <w:name w:val="Balloon Text"/>
    <w:basedOn w:val="1"/>
    <w:link w:val="37"/>
    <w:uiPriority w:val="0"/>
    <w:rPr>
      <w:sz w:val="18"/>
      <w:szCs w:val="18"/>
    </w:rPr>
  </w:style>
  <w:style w:type="paragraph" w:styleId="15">
    <w:name w:val="footer"/>
    <w:basedOn w:val="1"/>
    <w:link w:val="38"/>
    <w:uiPriority w:val="0"/>
    <w:pPr>
      <w:tabs>
        <w:tab w:val="center" w:pos="4153"/>
        <w:tab w:val="right" w:pos="8306"/>
      </w:tabs>
      <w:snapToGrid w:val="0"/>
      <w:jc w:val="left"/>
    </w:pPr>
    <w:rPr>
      <w:sz w:val="18"/>
      <w:szCs w:val="18"/>
    </w:rPr>
  </w:style>
  <w:style w:type="paragraph" w:styleId="16">
    <w:name w:val="header"/>
    <w:basedOn w:val="1"/>
    <w:link w:val="39"/>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63"/>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20">
    <w:name w:val="Table Grid"/>
    <w:basedOn w:val="1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FollowedHyperlink"/>
    <w:uiPriority w:val="0"/>
    <w:rPr>
      <w:color w:val="800080"/>
      <w:u w:val="single"/>
    </w:rPr>
  </w:style>
  <w:style w:type="character" w:styleId="23">
    <w:name w:val="Hyperlink"/>
    <w:uiPriority w:val="0"/>
    <w:rPr>
      <w:color w:val="0563C1"/>
      <w:u w:val="single"/>
    </w:rPr>
  </w:style>
  <w:style w:type="character" w:styleId="24">
    <w:name w:val="annotation reference"/>
    <w:unhideWhenUsed/>
    <w:qFormat/>
    <w:uiPriority w:val="99"/>
    <w:rPr>
      <w:sz w:val="21"/>
      <w:szCs w:val="21"/>
    </w:rPr>
  </w:style>
  <w:style w:type="character" w:customStyle="1" w:styleId="25">
    <w:name w:val="标题 1 Char"/>
    <w:link w:val="2"/>
    <w:uiPriority w:val="0"/>
    <w:rPr>
      <w:b/>
      <w:bCs/>
      <w:kern w:val="44"/>
      <w:sz w:val="44"/>
      <w:szCs w:val="44"/>
    </w:rPr>
  </w:style>
  <w:style w:type="character" w:customStyle="1" w:styleId="26">
    <w:name w:val="标题 2 Char"/>
    <w:link w:val="3"/>
    <w:uiPriority w:val="0"/>
    <w:rPr>
      <w:rFonts w:ascii="等线 Light" w:hAnsi="等线 Light" w:eastAsia="等线 Light" w:cs="Times New Roman"/>
      <w:b/>
      <w:bCs/>
      <w:kern w:val="2"/>
      <w:sz w:val="32"/>
      <w:szCs w:val="32"/>
    </w:rPr>
  </w:style>
  <w:style w:type="character" w:customStyle="1" w:styleId="27">
    <w:name w:val="标题 3 Char"/>
    <w:link w:val="4"/>
    <w:uiPriority w:val="0"/>
    <w:rPr>
      <w:b/>
      <w:bCs/>
      <w:kern w:val="2"/>
      <w:sz w:val="30"/>
      <w:szCs w:val="30"/>
    </w:rPr>
  </w:style>
  <w:style w:type="character" w:customStyle="1" w:styleId="28">
    <w:name w:val="标题 4 Char"/>
    <w:link w:val="5"/>
    <w:uiPriority w:val="0"/>
    <w:rPr>
      <w:rFonts w:ascii="宋体" w:hAnsi="宋体"/>
      <w:b/>
      <w:bCs/>
      <w:kern w:val="2"/>
      <w:sz w:val="28"/>
      <w:szCs w:val="28"/>
    </w:rPr>
  </w:style>
  <w:style w:type="character" w:customStyle="1" w:styleId="29">
    <w:name w:val="标题 5 Char"/>
    <w:link w:val="6"/>
    <w:uiPriority w:val="0"/>
    <w:rPr>
      <w:b/>
      <w:bCs/>
      <w:kern w:val="2"/>
      <w:sz w:val="28"/>
      <w:szCs w:val="28"/>
    </w:rPr>
  </w:style>
  <w:style w:type="character" w:customStyle="1" w:styleId="30">
    <w:name w:val="标题 6 Char"/>
    <w:link w:val="7"/>
    <w:uiPriority w:val="0"/>
    <w:rPr>
      <w:rFonts w:ascii="等线 Light" w:hAnsi="等线 Light" w:eastAsia="等线 Light"/>
      <w:b/>
      <w:bCs/>
      <w:kern w:val="2"/>
      <w:sz w:val="24"/>
      <w:szCs w:val="24"/>
    </w:rPr>
  </w:style>
  <w:style w:type="character" w:customStyle="1" w:styleId="31">
    <w:name w:val="标题 7 Char"/>
    <w:link w:val="8"/>
    <w:uiPriority w:val="0"/>
    <w:rPr>
      <w:b/>
      <w:bCs/>
      <w:kern w:val="2"/>
      <w:sz w:val="24"/>
      <w:szCs w:val="24"/>
    </w:rPr>
  </w:style>
  <w:style w:type="character" w:customStyle="1" w:styleId="32">
    <w:name w:val="标题 8 Char"/>
    <w:link w:val="9"/>
    <w:uiPriority w:val="0"/>
    <w:rPr>
      <w:rFonts w:ascii="等线 Light" w:hAnsi="等线 Light" w:eastAsia="等线 Light"/>
      <w:kern w:val="2"/>
      <w:sz w:val="24"/>
      <w:szCs w:val="24"/>
    </w:rPr>
  </w:style>
  <w:style w:type="character" w:customStyle="1" w:styleId="33">
    <w:name w:val="标题 9 Char"/>
    <w:link w:val="10"/>
    <w:uiPriority w:val="0"/>
    <w:rPr>
      <w:rFonts w:ascii="等线 Light" w:hAnsi="等线 Light" w:eastAsia="等线 Light"/>
      <w:kern w:val="2"/>
      <w:sz w:val="21"/>
      <w:szCs w:val="21"/>
    </w:rPr>
  </w:style>
  <w:style w:type="character" w:customStyle="1" w:styleId="34">
    <w:name w:val="正文缩进 Char"/>
    <w:link w:val="11"/>
    <w:qFormat/>
    <w:uiPriority w:val="99"/>
    <w:rPr>
      <w:spacing w:val="8"/>
      <w:kern w:val="2"/>
      <w:sz w:val="24"/>
      <w:lang w:val="en-US" w:eastAsia="zh-CN"/>
    </w:rPr>
  </w:style>
  <w:style w:type="character" w:customStyle="1" w:styleId="35">
    <w:name w:val="批注文字 Char"/>
    <w:link w:val="12"/>
    <w:uiPriority w:val="0"/>
    <w:rPr>
      <w:szCs w:val="24"/>
    </w:rPr>
  </w:style>
  <w:style w:type="character" w:customStyle="1" w:styleId="36">
    <w:name w:val="纯文本 Char"/>
    <w:link w:val="13"/>
    <w:uiPriority w:val="0"/>
    <w:rPr>
      <w:rFonts w:ascii="Calibri" w:hAnsi="Courier New"/>
      <w:kern w:val="2"/>
      <w:sz w:val="21"/>
    </w:rPr>
  </w:style>
  <w:style w:type="character" w:customStyle="1" w:styleId="37">
    <w:name w:val="批注框文本 Char"/>
    <w:link w:val="14"/>
    <w:uiPriority w:val="0"/>
    <w:rPr>
      <w:kern w:val="2"/>
      <w:sz w:val="18"/>
      <w:szCs w:val="18"/>
    </w:rPr>
  </w:style>
  <w:style w:type="character" w:customStyle="1" w:styleId="38">
    <w:name w:val="页脚 Char"/>
    <w:link w:val="15"/>
    <w:uiPriority w:val="0"/>
    <w:rPr>
      <w:kern w:val="2"/>
      <w:sz w:val="18"/>
      <w:szCs w:val="18"/>
    </w:rPr>
  </w:style>
  <w:style w:type="character" w:customStyle="1" w:styleId="39">
    <w:name w:val="页眉 Char"/>
    <w:link w:val="16"/>
    <w:uiPriority w:val="0"/>
    <w:rPr>
      <w:kern w:val="2"/>
      <w:sz w:val="18"/>
      <w:szCs w:val="18"/>
    </w:rPr>
  </w:style>
  <w:style w:type="character" w:customStyle="1" w:styleId="40">
    <w:name w:val="正文（首行缩进2字符） Char"/>
    <w:link w:val="41"/>
    <w:uiPriority w:val="0"/>
    <w:rPr>
      <w:kern w:val="2"/>
      <w:sz w:val="24"/>
      <w:szCs w:val="24"/>
    </w:rPr>
  </w:style>
  <w:style w:type="paragraph" w:customStyle="1" w:styleId="41">
    <w:name w:val="正文（首行缩进2字符）"/>
    <w:basedOn w:val="1"/>
    <w:link w:val="40"/>
    <w:qFormat/>
    <w:uiPriority w:val="0"/>
    <w:pPr>
      <w:spacing w:line="360" w:lineRule="auto"/>
      <w:ind w:firstLine="480" w:firstLineChars="200"/>
    </w:pPr>
    <w:rPr>
      <w:sz w:val="24"/>
    </w:rPr>
  </w:style>
  <w:style w:type="character" w:customStyle="1" w:styleId="42">
    <w:name w:val="段落 Char1"/>
    <w:link w:val="43"/>
    <w:uiPriority w:val="0"/>
    <w:rPr>
      <w:rFonts w:eastAsia="仿宋_GB2312"/>
      <w:sz w:val="24"/>
      <w:szCs w:val="24"/>
      <w:lang w:val="en-US" w:eastAsia="zh-CN" w:bidi="ar-SA"/>
    </w:rPr>
  </w:style>
  <w:style w:type="paragraph" w:customStyle="1" w:styleId="43">
    <w:name w:val="段落"/>
    <w:link w:val="42"/>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qFormat/>
    <w:uiPriority w:val="0"/>
    <w:rPr>
      <w:rFonts w:ascii="Arial" w:hAnsi="Arial"/>
      <w:sz w:val="21"/>
      <w:szCs w:val="21"/>
      <w:lang w:val="en-US" w:eastAsia="zh-CN" w:bidi="ar-SA"/>
    </w:rPr>
  </w:style>
  <w:style w:type="paragraph" w:customStyle="1" w:styleId="45">
    <w:name w:val="正文（安华金和）"/>
    <w:link w:val="44"/>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uiPriority w:val="99"/>
  </w:style>
  <w:style w:type="character" w:customStyle="1" w:styleId="47">
    <w:name w:val="列出段落 Char"/>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rPr>
  </w:style>
  <w:style w:type="paragraph" w:customStyle="1" w:styleId="49">
    <w:name w:val="插图标注（安华金和）"/>
    <w:next w:val="1"/>
    <w:qFormat/>
    <w:uiPriority w:val="0"/>
    <w:p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spacing w:line="415" w:lineRule="auto"/>
      <w:ind w:left="794" w:leftChars="200" w:hanging="794"/>
      <w:jc w:val="left"/>
    </w:pPr>
    <w:rPr>
      <w:rFonts w:ascii="Arial" w:hAnsi="Arial" w:eastAsia="黑体"/>
      <w:bCs w:val="0"/>
    </w:rPr>
  </w:style>
  <w:style w:type="paragraph" w:customStyle="1" w:styleId="5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spacing w:before="240" w:after="64" w:line="319" w:lineRule="auto"/>
      <w:ind w:hanging="1247"/>
      <w:jc w:val="left"/>
      <w:outlineLvl w:val="5"/>
    </w:pPr>
    <w:rPr>
      <w:rFonts w:ascii="Arial" w:hAnsi="Arial" w:eastAsia="黑体"/>
      <w:b/>
      <w:kern w:val="0"/>
    </w:rPr>
  </w:style>
  <w:style w:type="paragraph" w:customStyle="1" w:styleId="55">
    <w:name w:val="标题 4（DBSec）"/>
    <w:basedOn w:val="5"/>
    <w:next w:val="1"/>
    <w:qFormat/>
    <w:uiPriority w:val="0"/>
    <w:pPr>
      <w:widowControl/>
      <w:spacing w:after="156"/>
      <w:ind w:left="200" w:leftChars="200" w:hanging="420"/>
      <w:jc w:val="left"/>
    </w:pPr>
    <w:rPr>
      <w:rFonts w:ascii="Arial" w:hAnsi="Arial" w:eastAsia="黑体"/>
      <w:bCs w:val="0"/>
      <w:kern w:val="0"/>
    </w:rPr>
  </w:style>
  <w:style w:type="paragraph" w:customStyle="1" w:styleId="56">
    <w:name w:val="标题 3（DBSec）"/>
    <w:basedOn w:val="4"/>
    <w:next w:val="1"/>
    <w:qFormat/>
    <w:uiPriority w:val="0"/>
    <w:pPr>
      <w:tabs>
        <w:tab w:val="left" w:pos="960"/>
      </w:tabs>
      <w:spacing w:line="415" w:lineRule="auto"/>
      <w:ind w:left="200" w:leftChars="200" w:hanging="907"/>
      <w:jc w:val="left"/>
    </w:pPr>
    <w:rPr>
      <w:rFonts w:ascii="Arial" w:hAnsi="Arial" w:eastAsia="黑体"/>
      <w:bCs w:val="0"/>
      <w:kern w:val="0"/>
    </w:rPr>
  </w:style>
  <w:style w:type="paragraph" w:customStyle="1" w:styleId="57">
    <w:name w:val="标题 1（DBSec）"/>
    <w:basedOn w:val="2"/>
    <w:next w:val="1"/>
    <w:qFormat/>
    <w:uiPriority w:val="0"/>
    <w:pPr>
      <w:pageBreakBefore/>
      <w:numPr>
        <w:numId w:val="0"/>
      </w:numPr>
      <w:pBdr>
        <w:bottom w:val="single" w:color="auto" w:sz="48" w:space="1"/>
      </w:pBdr>
      <w:spacing w:before="600" w:line="576" w:lineRule="auto"/>
      <w:ind w:left="200" w:leftChars="200" w:hanging="420"/>
      <w:jc w:val="left"/>
    </w:pPr>
    <w:rPr>
      <w:rFonts w:ascii="Arial" w:hAnsi="Arial" w:eastAsia="黑体"/>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qFormat/>
    <w:uiPriority w:val="0"/>
  </w:style>
  <w:style w:type="paragraph" w:customStyle="1" w:styleId="60">
    <w:name w:val="标题 5（有编号）（安华金和）"/>
    <w:basedOn w:val="1"/>
    <w:next w:val="1"/>
    <w:qFormat/>
    <w:uiPriority w:val="0"/>
    <w:pPr>
      <w:keepNext/>
      <w:keepLines/>
      <w:spacing w:before="280" w:after="156" w:line="377" w:lineRule="auto"/>
      <w:ind w:hanging="1134"/>
      <w:jc w:val="left"/>
      <w:outlineLvl w:val="4"/>
    </w:pPr>
    <w:rPr>
      <w:rFonts w:ascii="Arial" w:hAnsi="Arial" w:eastAsia="黑体"/>
      <w:b/>
      <w:kern w:val="0"/>
      <w:sz w:val="24"/>
      <w:szCs w:val="28"/>
    </w:rPr>
  </w:style>
  <w:style w:type="paragraph" w:customStyle="1" w:styleId="61">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qFormat/>
    <w:uiPriority w:val="99"/>
    <w:rPr>
      <w:kern w:val="2"/>
      <w:sz w:val="21"/>
      <w:szCs w:val="24"/>
    </w:rPr>
  </w:style>
  <w:style w:type="character" w:customStyle="1" w:styleId="63">
    <w:name w:val="副标题 Char"/>
    <w:link w:val="17"/>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3179</Words>
  <Characters>3366</Characters>
  <Lines>25</Lines>
  <Paragraphs>7</Paragraphs>
  <TotalTime>4</TotalTime>
  <ScaleCrop>false</ScaleCrop>
  <LinksUpToDate>false</LinksUpToDate>
  <CharactersWithSpaces>3369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2022-01-06T02:42:00Z</dcterms:created>
  <dc:creator>陈永辉</dc:creator>
  <cp:lastModifiedBy>刘亮</cp:lastModifiedBy>
  <cp:lastPrinted>2023-03-01T08:16:00Z</cp:lastPrinted>
  <dcterms:modified xsi:type="dcterms:W3CDTF">2023-04-14T08:42:44Z</dcterms:modified>
  <dc:title>1</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2FC01B15AD144A6BAFB410672FBBE600_13</vt:lpwstr>
  </property>
</Properties>
</file>