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color w:val="000000" w:themeColor="text1"/>
          <w:sz w:val="48"/>
          <w:szCs w:val="48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color w:val="000000" w:themeColor="text1"/>
          <w:sz w:val="48"/>
          <w:szCs w:val="48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color w:val="000000" w:themeColor="text1"/>
          <w:sz w:val="48"/>
          <w:szCs w:val="48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color w:val="000000" w:themeColor="text1"/>
          <w:sz w:val="48"/>
          <w:szCs w:val="48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color w:val="000000" w:themeColor="text1"/>
          <w:sz w:val="48"/>
          <w:szCs w:val="48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color w:val="000000" w:themeColor="text1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48"/>
          <w:szCs w:val="48"/>
        </w:rPr>
        <w:t>广东省人民医院</w:t>
      </w:r>
    </w:p>
    <w:p>
      <w:pPr>
        <w:jc w:val="both"/>
        <w:rPr>
          <w:rFonts w:ascii="微软雅黑" w:hAnsi="微软雅黑" w:eastAsia="微软雅黑" w:cs="微软雅黑"/>
          <w:b/>
          <w:bCs/>
          <w:color w:val="000000" w:themeColor="text1"/>
          <w:sz w:val="48"/>
          <w:szCs w:val="48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color w:val="000000" w:themeColor="text1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48"/>
          <w:szCs w:val="48"/>
        </w:rPr>
        <w:t>医用耗材智能管控平台项目需求</w:t>
      </w:r>
      <w:bookmarkStart w:id="3" w:name="_GoBack"/>
      <w:bookmarkEnd w:id="3"/>
    </w:p>
    <w:p>
      <w:pPr>
        <w:jc w:val="center"/>
        <w:rPr>
          <w:rFonts w:ascii="微软雅黑" w:hAnsi="微软雅黑" w:eastAsia="微软雅黑" w:cs="微软雅黑"/>
          <w:b/>
          <w:bCs/>
          <w:color w:val="000000" w:themeColor="text1"/>
          <w:sz w:val="30"/>
          <w:szCs w:val="30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color w:val="000000" w:themeColor="text1"/>
          <w:sz w:val="30"/>
          <w:szCs w:val="30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color w:val="000000" w:themeColor="text1"/>
          <w:sz w:val="30"/>
          <w:szCs w:val="30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color w:val="000000" w:themeColor="text1"/>
          <w:sz w:val="30"/>
          <w:szCs w:val="30"/>
        </w:rPr>
      </w:pPr>
    </w:p>
    <w:p>
      <w:pPr>
        <w:rPr>
          <w:rFonts w:ascii="微软雅黑" w:hAnsi="微软雅黑" w:eastAsia="微软雅黑" w:cs="微软雅黑"/>
        </w:rPr>
      </w:pPr>
      <w:bookmarkStart w:id="0" w:name="_Toc118798829"/>
    </w:p>
    <w:p>
      <w:pPr>
        <w:rPr>
          <w:rFonts w:ascii="微软雅黑" w:hAnsi="微软雅黑" w:eastAsia="微软雅黑" w:cs="微软雅黑"/>
        </w:rPr>
      </w:pPr>
    </w:p>
    <w:bookmarkEnd w:id="0"/>
    <w:p>
      <w:pPr>
        <w:pStyle w:val="3"/>
        <w:rPr>
          <w:rFonts w:ascii="微软雅黑" w:hAnsi="微软雅黑" w:eastAsia="微软雅黑" w:cs="微软雅黑"/>
          <w:color w:val="000000" w:themeColor="text1"/>
        </w:rPr>
      </w:pPr>
      <w:bookmarkStart w:id="1" w:name="_Toc146638746"/>
      <w:r>
        <w:rPr>
          <w:rFonts w:ascii="微软雅黑" w:hAnsi="微软雅黑" w:eastAsia="微软雅黑" w:cs="微软雅黑"/>
          <w:color w:val="000000" w:themeColor="text1"/>
        </w:rPr>
        <w:t>1、总体目标</w:t>
      </w:r>
      <w:bookmarkEnd w:id="1"/>
    </w:p>
    <w:p>
      <w:pPr>
        <w:spacing w:line="360" w:lineRule="auto"/>
        <w:ind w:firstLine="480" w:firstLineChars="200"/>
        <w:jc w:val="both"/>
        <w:rPr>
          <w:rFonts w:ascii="微软雅黑" w:hAnsi="微软雅黑" w:eastAsia="微软雅黑" w:cs="微软雅黑"/>
          <w:color w:val="000000" w:themeColor="text1"/>
        </w:rPr>
      </w:pPr>
      <w:bookmarkStart w:id="2" w:name="_Toc118798831"/>
      <w:r>
        <w:rPr>
          <w:rFonts w:hint="eastAsia" w:ascii="微软雅黑" w:hAnsi="微软雅黑" w:eastAsia="微软雅黑" w:cs="微软雅黑"/>
          <w:color w:val="000000" w:themeColor="text1"/>
        </w:rPr>
        <w:t>根据国家及上级主管部门对医用耗材及试剂的管控要求，基于医用耗材及试剂的数据分析，建立耗材及试剂准入的全链条管理和评价模型，支撑医用耗材及试剂准入遴选采购、临床使用、退出停用等环节的全生命周期精细化管理。</w:t>
      </w:r>
    </w:p>
    <w:bookmarkEnd w:id="2"/>
    <w:p>
      <w:pPr>
        <w:pStyle w:val="3"/>
        <w:numPr>
          <w:ilvl w:val="0"/>
          <w:numId w:val="1"/>
        </w:numPr>
        <w:rPr>
          <w:rFonts w:ascii="微软雅黑" w:hAnsi="微软雅黑" w:eastAsia="微软雅黑" w:cs="微软雅黑"/>
          <w:color w:val="000000" w:themeColor="text1"/>
        </w:rPr>
      </w:pPr>
      <w:r>
        <w:rPr>
          <w:rFonts w:hint="eastAsia" w:ascii="微软雅黑" w:hAnsi="微软雅黑" w:eastAsia="微软雅黑" w:cs="微软雅黑"/>
          <w:color w:val="000000" w:themeColor="text1"/>
        </w:rPr>
        <w:t>功能需求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675"/>
        <w:gridCol w:w="5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88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序号</w:t>
            </w:r>
          </w:p>
        </w:tc>
        <w:tc>
          <w:tcPr>
            <w:tcW w:w="1675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功能模块</w:t>
            </w:r>
          </w:p>
        </w:tc>
        <w:tc>
          <w:tcPr>
            <w:tcW w:w="5633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功能描述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88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</w:rPr>
              <w:t>1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院前准入遴选、临时采购、紧急采购分析</w:t>
            </w:r>
          </w:p>
        </w:tc>
        <w:tc>
          <w:tcPr>
            <w:tcW w:w="5633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both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对接院内</w:t>
            </w:r>
            <w:r>
              <w:rPr>
                <w:rFonts w:ascii="微软雅黑" w:hAnsi="微软雅黑" w:eastAsia="微软雅黑" w:cs="微软雅黑"/>
                <w:color w:val="000000" w:themeColor="text1"/>
              </w:rPr>
              <w:t>OA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系统的审批流程，获取业务数据；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both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支持添加拟准入耗材和院内可替代耗材系统自动匹配；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both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支持拟准入品种及其已入院可替代耗材的价格、用量以及结合临床应用等维度数据分析，预测耗材引进后的综合效益；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both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支持根据耗材引入评估指标综合评估拟准入品种的入院竞争力。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88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</w:rPr>
              <w:t>2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院中术式用耗分析</w:t>
            </w:r>
          </w:p>
        </w:tc>
        <w:tc>
          <w:tcPr>
            <w:tcW w:w="5633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</w:rPr>
              <w:t>1、支持多维度（如品种、科室、病种或手术、使用人等）综合分析耗材管理指标、卫生材料消耗趋势；</w:t>
            </w:r>
          </w:p>
          <w:p>
            <w:pPr>
              <w:widowControl/>
              <w:spacing w:line="360" w:lineRule="auto"/>
              <w:jc w:val="both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</w:rPr>
              <w:t>2、支持评价同类同效产品，包括价格、用量等差异分析，同产品不同科室、使用人等差异分析；</w:t>
            </w:r>
          </w:p>
          <w:p>
            <w:pPr>
              <w:widowControl/>
              <w:spacing w:line="360" w:lineRule="auto"/>
              <w:jc w:val="both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</w:rPr>
              <w:t>3、支持耗材术式偏离分析，即相同术式的术者耗材偏离，支持耗材病种偏离分析，及相同疾病的术式耗材偏离。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88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</w:rPr>
              <w:t>3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预置主题分析</w:t>
            </w:r>
          </w:p>
        </w:tc>
        <w:tc>
          <w:tcPr>
            <w:tcW w:w="5633" w:type="dxa"/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支持耗材（包括常规准入、机配、临时采购、紧急采购、集采（耗材及试剂））使用分析，分析主题包括但不限于：</w:t>
            </w:r>
            <w:r>
              <w:rPr>
                <w:rFonts w:ascii="微软雅黑" w:hAnsi="微软雅黑" w:eastAsia="微软雅黑" w:cs="微软雅黑"/>
                <w:color w:val="000000" w:themeColor="text1"/>
              </w:rPr>
              <w:br w:type="textWrapping"/>
            </w:r>
            <w:r>
              <w:rPr>
                <w:rFonts w:ascii="微软雅黑" w:hAnsi="微软雅黑" w:eastAsia="微软雅黑" w:cs="微软雅黑"/>
                <w:color w:val="000000" w:themeColor="text1"/>
              </w:rPr>
              <w:t>1、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使用数量（月度</w:t>
            </w:r>
            <w:r>
              <w:rPr>
                <w:rFonts w:ascii="微软雅黑" w:hAnsi="微软雅黑" w:eastAsia="微软雅黑" w:cs="微软雅黑"/>
                <w:color w:val="000000" w:themeColor="text1"/>
              </w:rPr>
              <w:t>/年度/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分类）分析；</w:t>
            </w:r>
          </w:p>
          <w:p>
            <w:pPr>
              <w:widowControl/>
              <w:spacing w:line="360" w:lineRule="auto"/>
              <w:jc w:val="both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、准入前后同类同效产品适用变化分析；</w:t>
            </w:r>
          </w:p>
          <w:p>
            <w:pPr>
              <w:widowControl/>
              <w:spacing w:line="360" w:lineRule="auto"/>
              <w:jc w:val="both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、科室诊断分析；</w:t>
            </w:r>
            <w:r>
              <w:rPr>
                <w:rFonts w:ascii="微软雅黑" w:hAnsi="微软雅黑" w:eastAsia="微软雅黑" w:cs="微软雅黑"/>
                <w:color w:val="000000" w:themeColor="text1"/>
              </w:rPr>
              <w:br w:type="textWrapping"/>
            </w:r>
            <w:r>
              <w:rPr>
                <w:rFonts w:ascii="微软雅黑" w:hAnsi="微软雅黑" w:eastAsia="微软雅黑" w:cs="微软雅黑"/>
                <w:color w:val="000000" w:themeColor="text1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、术式术者分析；</w:t>
            </w:r>
            <w:r>
              <w:rPr>
                <w:rFonts w:ascii="微软雅黑" w:hAnsi="微软雅黑" w:eastAsia="微软雅黑" w:cs="微软雅黑"/>
                <w:color w:val="000000" w:themeColor="text1"/>
              </w:rPr>
              <w:br w:type="textWrapping"/>
            </w:r>
            <w:r>
              <w:rPr>
                <w:rFonts w:ascii="微软雅黑" w:hAnsi="微软雅黑" w:eastAsia="微软雅黑" w:cs="微软雅黑"/>
                <w:color w:val="000000" w:themeColor="text1"/>
              </w:rPr>
              <w:t>5、手术等级占比分析；</w:t>
            </w:r>
          </w:p>
          <w:p>
            <w:pPr>
              <w:widowControl/>
              <w:spacing w:line="360" w:lineRule="auto"/>
              <w:jc w:val="both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6、新准入耗材/试剂利用率分析；</w:t>
            </w:r>
          </w:p>
          <w:p>
            <w:pPr>
              <w:widowControl/>
              <w:spacing w:line="360" w:lineRule="auto"/>
              <w:jc w:val="both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7、耗占比分析；</w:t>
            </w:r>
          </w:p>
          <w:p>
            <w:pPr>
              <w:widowControl/>
              <w:spacing w:line="360" w:lineRule="auto"/>
              <w:jc w:val="both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8、不良事件分析；</w:t>
            </w:r>
          </w:p>
          <w:p>
            <w:pPr>
              <w:widowControl/>
              <w:spacing w:line="360" w:lineRule="auto"/>
              <w:jc w:val="both"/>
              <w:textAlignment w:val="center"/>
              <w:rPr>
                <w:rFonts w:ascii="微软雅黑" w:hAnsi="微软雅黑" w:eastAsia="微软雅黑" w:cs="微软雅黑"/>
                <w:color w:val="FF0000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9、试剂成本率分析。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988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</w:rPr>
              <w:t>4</w:t>
            </w:r>
          </w:p>
        </w:tc>
        <w:tc>
          <w:tcPr>
            <w:tcW w:w="1675" w:type="dxa"/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分析工具</w:t>
            </w:r>
          </w:p>
        </w:tc>
        <w:tc>
          <w:tcPr>
            <w:tcW w:w="5633" w:type="dxa"/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</w:rPr>
              <w:t>1、支持自定义主题分析，包括主题命名、搜索条件预置、可视化样式、可视化参数设定、可视化浏览、下载等；</w:t>
            </w:r>
            <w:r>
              <w:rPr>
                <w:rFonts w:ascii="微软雅黑" w:hAnsi="微软雅黑" w:eastAsia="微软雅黑" w:cs="微软雅黑"/>
                <w:color w:val="000000" w:themeColor="text1"/>
              </w:rPr>
              <w:br w:type="textWrapping"/>
            </w:r>
            <w:r>
              <w:rPr>
                <w:rFonts w:ascii="微软雅黑" w:hAnsi="微软雅黑" w:eastAsia="微软雅黑" w:cs="微软雅黑"/>
                <w:color w:val="000000" w:themeColor="text1"/>
              </w:rPr>
              <w:t>2、支持柱状图、饼图、散点图、气泡图、折线图、地图、雷达图、报表图、双轴折线图、柱状折线组合图等可视化模板；</w:t>
            </w:r>
            <w:r>
              <w:rPr>
                <w:rFonts w:ascii="微软雅黑" w:hAnsi="微软雅黑" w:eastAsia="微软雅黑" w:cs="微软雅黑"/>
                <w:color w:val="000000" w:themeColor="text1"/>
              </w:rPr>
              <w:br w:type="textWrapping"/>
            </w:r>
            <w:r>
              <w:rPr>
                <w:rFonts w:ascii="微软雅黑" w:hAnsi="微软雅黑" w:eastAsia="微软雅黑" w:cs="微软雅黑"/>
                <w:color w:val="000000" w:themeColor="text1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、支持高级搜索，覆盖全字段（数值变量指定范围、文本字段模糊及精确匹配、数据字段精确匹配）的与、或、非查询和组合查询；</w:t>
            </w:r>
            <w:r>
              <w:rPr>
                <w:rFonts w:ascii="微软雅黑" w:hAnsi="微软雅黑" w:eastAsia="微软雅黑" w:cs="微软雅黑"/>
                <w:color w:val="000000" w:themeColor="text1"/>
              </w:rPr>
              <w:br w:type="textWrapping"/>
            </w:r>
            <w:r>
              <w:rPr>
                <w:rFonts w:ascii="微软雅黑" w:hAnsi="微软雅黑" w:eastAsia="微软雅黑" w:cs="微软雅黑"/>
                <w:color w:val="000000" w:themeColor="text1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、支持绘图中筛选条件重置；支持主题的保存和分享。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988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</w:rPr>
              <w:t>5</w:t>
            </w:r>
          </w:p>
        </w:tc>
        <w:tc>
          <w:tcPr>
            <w:tcW w:w="1675" w:type="dxa"/>
            <w:vAlign w:val="center"/>
          </w:tcPr>
          <w:p>
            <w:pPr>
              <w:widowControl w:val="0"/>
              <w:spacing w:line="360" w:lineRule="auto"/>
              <w:jc w:val="both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全周期精细管理建模</w:t>
            </w:r>
          </w:p>
        </w:tc>
        <w:tc>
          <w:tcPr>
            <w:tcW w:w="5633" w:type="dxa"/>
            <w:vAlign w:val="center"/>
          </w:tcPr>
          <w:p>
            <w:pPr>
              <w:widowControl w:val="0"/>
              <w:spacing w:line="360" w:lineRule="auto"/>
              <w:jc w:val="both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支持两个住院科室重点术式的涵盖耗材试用、临采、准入、使用、退出等环节的全周期耗材使用动态评价模型的构建。</w:t>
            </w:r>
          </w:p>
          <w:p>
            <w:pPr>
              <w:widowControl w:val="0"/>
              <w:spacing w:line="360" w:lineRule="auto"/>
              <w:jc w:val="both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支持通过聚类分析等机器学习算法、动态规划等优化算法，以质量效益为目标函数，最优专科术式耗材全周期采购和使用策略。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988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</w:rPr>
              <w:t>6</w:t>
            </w:r>
          </w:p>
        </w:tc>
        <w:tc>
          <w:tcPr>
            <w:tcW w:w="1675" w:type="dxa"/>
            <w:vAlign w:val="center"/>
          </w:tcPr>
          <w:p>
            <w:pPr>
              <w:widowControl w:val="0"/>
              <w:spacing w:line="360" w:lineRule="auto"/>
              <w:jc w:val="both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数据接入</w:t>
            </w:r>
          </w:p>
        </w:tc>
        <w:tc>
          <w:tcPr>
            <w:tcW w:w="5633" w:type="dxa"/>
            <w:vAlign w:val="center"/>
          </w:tcPr>
          <w:p>
            <w:pPr>
              <w:widowControl w:val="0"/>
              <w:spacing w:line="360" w:lineRule="auto"/>
              <w:jc w:val="both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能无缝对接医院</w:t>
            </w:r>
            <w:r>
              <w:rPr>
                <w:rFonts w:ascii="微软雅黑" w:hAnsi="微软雅黑" w:eastAsia="微软雅黑" w:cs="微软雅黑"/>
                <w:color w:val="000000" w:themeColor="text1"/>
              </w:rPr>
              <w:t>HIS、EMR、LIS、耗材及试剂供应链管理、OA等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系统，以及外部医用耗材及试剂采购平台数据，获取各类耗材审批、采购数量、价格、品规等数据情况，进行耗材使用分析。</w:t>
            </w:r>
          </w:p>
        </w:tc>
      </w:tr>
    </w:tbl>
    <w:p>
      <w:pPr>
        <w:pStyle w:val="3"/>
        <w:numPr>
          <w:ilvl w:val="255"/>
          <w:numId w:val="0"/>
        </w:numPr>
        <w:rPr>
          <w:rFonts w:ascii="微软雅黑" w:hAnsi="微软雅黑" w:eastAsia="微软雅黑" w:cs="微软雅黑"/>
          <w:color w:val="000000" w:themeColor="text1"/>
        </w:rPr>
      </w:pPr>
    </w:p>
    <w:p>
      <w:pPr>
        <w:spacing w:line="360" w:lineRule="auto"/>
        <w:ind w:firstLine="480" w:firstLineChars="200"/>
        <w:jc w:val="both"/>
        <w:rPr>
          <w:rFonts w:ascii="微软雅黑" w:hAnsi="微软雅黑" w:eastAsia="微软雅黑" w:cs="微软雅黑"/>
          <w:color w:val="000000" w:themeColor="text1"/>
        </w:rPr>
      </w:pPr>
      <w:r>
        <w:rPr>
          <w:rFonts w:ascii="微软雅黑" w:hAnsi="微软雅黑" w:eastAsia="微软雅黑" w:cs="微软雅黑"/>
          <w:color w:val="000000" w:themeColor="text1"/>
        </w:rPr>
        <w:t>(一)供货方须在院方支付合同首款后的 180 个工作日内向院方提交采购清单中的软件系统。</w:t>
      </w:r>
    </w:p>
    <w:p>
      <w:pPr>
        <w:spacing w:line="360" w:lineRule="auto"/>
        <w:ind w:firstLine="480" w:firstLineChars="200"/>
        <w:jc w:val="both"/>
        <w:rPr>
          <w:rFonts w:ascii="微软雅黑" w:hAnsi="微软雅黑" w:eastAsia="微软雅黑" w:cs="微软雅黑"/>
          <w:color w:val="000000" w:themeColor="text1"/>
        </w:rPr>
      </w:pPr>
      <w:r>
        <w:rPr>
          <w:rFonts w:ascii="微软雅黑" w:hAnsi="微软雅黑" w:eastAsia="微软雅黑" w:cs="微软雅黑"/>
          <w:color w:val="000000" w:themeColor="text1"/>
        </w:rPr>
        <w:t>(二)验收日期以软件实施到达院方需求的日期为准。</w:t>
      </w:r>
    </w:p>
    <w:p>
      <w:pPr>
        <w:spacing w:line="360" w:lineRule="auto"/>
        <w:jc w:val="both"/>
        <w:rPr>
          <w:rFonts w:ascii="微软雅黑" w:hAnsi="微软雅黑" w:eastAsia="微软雅黑" w:cs="微软雅黑"/>
          <w:color w:val="000000" w:themeColor="text1"/>
        </w:rPr>
      </w:pPr>
    </w:p>
    <w:p>
      <w:pPr>
        <w:pStyle w:val="3"/>
        <w:numPr>
          <w:ilvl w:val="0"/>
          <w:numId w:val="1"/>
        </w:numPr>
        <w:rPr>
          <w:rFonts w:ascii="微软雅黑" w:hAnsi="微软雅黑" w:eastAsia="微软雅黑" w:cs="微软雅黑"/>
          <w:color w:val="000000" w:themeColor="text1"/>
          <w:lang w:val="zh-CN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lang w:val="zh-CN"/>
        </w:rPr>
        <w:t>实施方式</w:t>
      </w:r>
    </w:p>
    <w:p>
      <w:pPr>
        <w:pStyle w:val="7"/>
        <w:ind w:left="0" w:leftChars="0" w:firstLine="480" w:firstLineChars="20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(一)供货方应按时将软件实施至院方，并稳定运行。</w:t>
      </w:r>
    </w:p>
    <w:p>
      <w:pPr>
        <w:pStyle w:val="7"/>
        <w:ind w:left="0" w:leftChars="0" w:firstLine="480" w:firstLineChars="20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(二)验收的有效证明：供货方软件建设人，必须提交软件验收签收单给院方负责人，签收单必须有院方、供货方两方的签字方有效。</w:t>
      </w:r>
    </w:p>
    <w:p>
      <w:pPr>
        <w:pStyle w:val="7"/>
        <w:ind w:left="0" w:leftChars="0" w:firstLine="480" w:firstLineChars="200"/>
        <w:rPr>
          <w:rFonts w:ascii="微软雅黑" w:hAnsi="微软雅黑" w:eastAsia="微软雅黑" w:cs="微软雅黑"/>
        </w:rPr>
      </w:pPr>
    </w:p>
    <w:p>
      <w:pPr>
        <w:pStyle w:val="3"/>
        <w:numPr>
          <w:ilvl w:val="0"/>
          <w:numId w:val="1"/>
        </w:numPr>
        <w:rPr>
          <w:rFonts w:ascii="微软雅黑" w:hAnsi="微软雅黑" w:eastAsia="微软雅黑" w:cs="微软雅黑"/>
          <w:color w:val="000000" w:themeColor="text1"/>
          <w:lang w:val="zh-CN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lang w:val="zh-CN"/>
        </w:rPr>
        <w:t>合作研发服务</w:t>
      </w:r>
    </w:p>
    <w:p>
      <w:pPr>
        <w:pStyle w:val="7"/>
        <w:ind w:left="0" w:leftChars="0" w:firstLine="48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（一）承建商提供系统合作研发服务，需配合广东省人民医院关于知识产权保护的相关要求。</w:t>
      </w:r>
    </w:p>
    <w:p>
      <w:pPr>
        <w:pStyle w:val="7"/>
        <w:ind w:left="0" w:leftChars="0" w:firstLine="48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（二）基于项目需求与院方合作研发医用耗材智能管控平台，共同推进合作研发成果转化。</w:t>
      </w:r>
    </w:p>
    <w:p>
      <w:pPr>
        <w:pStyle w:val="7"/>
        <w:ind w:left="0" w:leftChars="0"/>
        <w:rPr>
          <w:rFonts w:ascii="微软雅黑" w:hAnsi="微软雅黑" w:eastAsia="微软雅黑" w:cs="微软雅黑"/>
        </w:rPr>
      </w:pPr>
    </w:p>
    <w:p>
      <w:pPr>
        <w:pStyle w:val="7"/>
        <w:ind w:left="0" w:leftChars="0"/>
        <w:rPr>
          <w:rFonts w:ascii="微软雅黑" w:hAnsi="微软雅黑" w:eastAsia="微软雅黑" w:cs="微软雅黑"/>
        </w:rPr>
      </w:pPr>
    </w:p>
    <w:p>
      <w:pPr>
        <w:pStyle w:val="3"/>
        <w:numPr>
          <w:ilvl w:val="0"/>
          <w:numId w:val="1"/>
        </w:numPr>
        <w:rPr>
          <w:rFonts w:ascii="微软雅黑" w:hAnsi="微软雅黑" w:eastAsia="微软雅黑" w:cs="微软雅黑"/>
          <w:color w:val="000000" w:themeColor="text1"/>
          <w:lang w:val="zh-CN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lang w:val="zh-CN"/>
        </w:rPr>
        <w:t>安装要求</w:t>
      </w:r>
    </w:p>
    <w:p>
      <w:pPr>
        <w:pStyle w:val="7"/>
        <w:ind w:left="0" w:leftChars="0" w:firstLine="48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（一）供货方负责合同项下设备的安装调试，并按院方要求，免费提供本项目下实施建设工作。</w:t>
      </w:r>
    </w:p>
    <w:p>
      <w:pPr>
        <w:pStyle w:val="7"/>
        <w:ind w:left="0" w:leftChars="0" w:firstLine="48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（二）供货方应按院方指定的安装日期、安装要求进行安装工作。</w:t>
      </w:r>
    </w:p>
    <w:p>
      <w:pPr>
        <w:pStyle w:val="7"/>
        <w:ind w:left="0" w:leftChars="0" w:firstLine="48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（三）供货方需根据院方的详细需求，提交项目产品的安装、调试及培训实施方案，方案得到院方确认后实施，保证系统按时、正常地投入运行。</w:t>
      </w:r>
    </w:p>
    <w:p>
      <w:pPr>
        <w:pStyle w:val="7"/>
        <w:ind w:left="0" w:leftChars="0"/>
        <w:rPr>
          <w:rFonts w:ascii="微软雅黑" w:hAnsi="微软雅黑" w:eastAsia="微软雅黑" w:cs="微软雅黑"/>
        </w:rPr>
      </w:pPr>
    </w:p>
    <w:p>
      <w:pPr>
        <w:pStyle w:val="3"/>
        <w:numPr>
          <w:ilvl w:val="0"/>
          <w:numId w:val="1"/>
        </w:numPr>
        <w:rPr>
          <w:rFonts w:ascii="微软雅黑" w:hAnsi="微软雅黑" w:eastAsia="微软雅黑" w:cs="微软雅黑"/>
          <w:color w:val="000000" w:themeColor="text1"/>
          <w:lang w:val="zh-CN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lang w:val="zh-CN"/>
        </w:rPr>
        <w:t>保修服务</w:t>
      </w:r>
    </w:p>
    <w:p>
      <w:pPr>
        <w:pStyle w:val="7"/>
        <w:ind w:left="0" w:leftChars="0" w:firstLine="48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整体保修；保修期自验收合格之日起计算。</w:t>
      </w:r>
    </w:p>
    <w:p>
      <w:pPr>
        <w:pStyle w:val="7"/>
        <w:ind w:left="0" w:leftChars="0" w:firstLine="480" w:firstLineChars="20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 xml:space="preserve">(二) </w:t>
      </w:r>
      <w:r>
        <w:rPr>
          <w:rFonts w:hint="eastAsia" w:ascii="微软雅黑" w:hAnsi="微软雅黑" w:eastAsia="微软雅黑" w:cs="微软雅黑"/>
        </w:rPr>
        <w:t>提供</w:t>
      </w:r>
      <w:r>
        <w:rPr>
          <w:rFonts w:ascii="微软雅黑" w:hAnsi="微软雅黑" w:eastAsia="微软雅黑" w:cs="微软雅黑"/>
        </w:rPr>
        <w:t xml:space="preserve"> 3 </w:t>
      </w:r>
      <w:r>
        <w:rPr>
          <w:rFonts w:hint="eastAsia" w:ascii="微软雅黑" w:hAnsi="微软雅黑" w:eastAsia="微软雅黑" w:cs="微软雅黑"/>
        </w:rPr>
        <w:t>年原厂家保修服务。</w:t>
      </w:r>
    </w:p>
    <w:p>
      <w:pPr>
        <w:pStyle w:val="7"/>
        <w:ind w:left="0" w:leftChars="0" w:firstLine="480" w:firstLineChars="20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 xml:space="preserve">(三) </w:t>
      </w:r>
      <w:r>
        <w:rPr>
          <w:rFonts w:hint="eastAsia" w:ascii="微软雅黑" w:hAnsi="微软雅黑" w:eastAsia="微软雅黑" w:cs="微软雅黑"/>
        </w:rPr>
        <w:t>在免费维护期结束前，须由供货方和院方进行一次全面检查，任何缺陷必须由供货方负责修复，在修复之后，供货方应将缺陷原因、修复内容、完成修理及恢复正常的时间和日期等报告给院方，形成项目总结报告。</w:t>
      </w:r>
    </w:p>
    <w:p>
      <w:pPr>
        <w:pStyle w:val="7"/>
        <w:ind w:left="0" w:leftChars="0" w:firstLine="480" w:firstLineChars="20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 xml:space="preserve">(四) </w:t>
      </w:r>
      <w:r>
        <w:rPr>
          <w:rFonts w:hint="eastAsia" w:ascii="微软雅黑" w:hAnsi="微软雅黑" w:eastAsia="微软雅黑" w:cs="微软雅黑"/>
        </w:rPr>
        <w:t>超过免费维护期的，双方另行协商签订维护合同，信息设备（产品）的维护报价不超过合同信息设备（产品）部分金额的</w:t>
      </w:r>
      <w:r>
        <w:rPr>
          <w:rFonts w:ascii="微软雅黑" w:hAnsi="微软雅黑" w:eastAsia="微软雅黑" w:cs="微软雅黑"/>
        </w:rPr>
        <w:t>5%。</w:t>
      </w:r>
    </w:p>
    <w:p>
      <w:pPr>
        <w:pStyle w:val="7"/>
        <w:ind w:left="0" w:leftChars="0" w:firstLine="48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（五）售后服务：提供原厂厂家</w:t>
      </w:r>
      <w:r>
        <w:rPr>
          <w:rFonts w:ascii="微软雅黑" w:hAnsi="微软雅黑" w:eastAsia="微软雅黑" w:cs="微软雅黑"/>
        </w:rPr>
        <w:t>7*24小时免费维修服务，提供不少于1人的驻场服务，节假日安排值班。</w:t>
      </w:r>
    </w:p>
    <w:p>
      <w:pPr>
        <w:pStyle w:val="7"/>
        <w:ind w:left="0" w:leftChars="0" w:firstLine="48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（六）响应时间、方式：</w:t>
      </w:r>
      <w:r>
        <w:rPr>
          <w:rFonts w:ascii="微软雅黑" w:hAnsi="微软雅黑" w:eastAsia="微软雅黑" w:cs="微软雅黑"/>
        </w:rPr>
        <w:t>2小时内响应到院方报修处，供货方需提供备件先行服务。</w:t>
      </w:r>
    </w:p>
    <w:p>
      <w:pPr>
        <w:pStyle w:val="7"/>
        <w:ind w:left="0" w:leftChars="0"/>
        <w:rPr>
          <w:rFonts w:ascii="微软雅黑" w:hAnsi="微软雅黑" w:eastAsia="微软雅黑" w:cs="微软雅黑"/>
        </w:rPr>
      </w:pPr>
    </w:p>
    <w:p>
      <w:pPr>
        <w:pStyle w:val="3"/>
        <w:numPr>
          <w:ilvl w:val="0"/>
          <w:numId w:val="1"/>
        </w:numPr>
        <w:rPr>
          <w:rFonts w:ascii="微软雅黑" w:hAnsi="微软雅黑" w:eastAsia="微软雅黑" w:cs="微软雅黑"/>
          <w:color w:val="000000" w:themeColor="text1"/>
          <w:lang w:val="zh-CN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lang w:val="zh-CN"/>
        </w:rPr>
        <w:t>培训</w:t>
      </w:r>
    </w:p>
    <w:p>
      <w:pPr>
        <w:pStyle w:val="7"/>
        <w:ind w:left="0" w:leftChars="0" w:firstLine="48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（一）供货方应为院方进行培训，包括使用培训和维护培训。</w:t>
      </w:r>
    </w:p>
    <w:p>
      <w:pPr>
        <w:pStyle w:val="7"/>
        <w:ind w:left="0" w:leftChars="0" w:firstLine="48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（二）供货方应提出详细的培训计划，提供培训教材。技术培训的内容必须覆盖产品的安装、日常操作和管理维护，以及基本的故障诊断与排错，并保证培训效果。</w:t>
      </w:r>
    </w:p>
    <w:p>
      <w:pPr>
        <w:pStyle w:val="7"/>
        <w:ind w:left="0" w:leftChars="0"/>
        <w:rPr>
          <w:rFonts w:ascii="微软雅黑" w:hAnsi="微软雅黑" w:eastAsia="微软雅黑" w:cs="微软雅黑"/>
        </w:rPr>
      </w:pPr>
    </w:p>
    <w:p>
      <w:pPr>
        <w:pStyle w:val="3"/>
        <w:numPr>
          <w:ilvl w:val="0"/>
          <w:numId w:val="1"/>
        </w:numPr>
        <w:rPr>
          <w:rFonts w:ascii="微软雅黑" w:hAnsi="微软雅黑" w:eastAsia="微软雅黑" w:cs="微软雅黑"/>
          <w:color w:val="000000" w:themeColor="text1"/>
          <w:lang w:val="zh-CN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lang w:val="zh-CN"/>
        </w:rPr>
        <w:t>合同款支付方式</w:t>
      </w:r>
    </w:p>
    <w:p>
      <w:pPr>
        <w:pStyle w:val="7"/>
        <w:ind w:left="0" w:leftChars="0" w:firstLine="48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（一）合同签订后，在收到供货方开具相应金额正式发票后，支付合同总金额的</w:t>
      </w:r>
      <w:r>
        <w:rPr>
          <w:rFonts w:ascii="微软雅黑" w:hAnsi="微软雅黑" w:eastAsia="微软雅黑" w:cs="微软雅黑"/>
        </w:rPr>
        <w:t>30%。</w:t>
      </w:r>
    </w:p>
    <w:p>
      <w:pPr>
        <w:pStyle w:val="7"/>
        <w:ind w:left="0" w:leftChars="0" w:firstLine="48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（二）合同所有软件（产品）至院方安装实施后、软件运转正常，并经最终用户签字验收，且收到供货方开具相应金额正式发票后，支付至结算审核价的</w:t>
      </w:r>
      <w:r>
        <w:rPr>
          <w:rFonts w:ascii="微软雅黑" w:hAnsi="微软雅黑" w:eastAsia="微软雅黑" w:cs="微软雅黑"/>
        </w:rPr>
        <w:t>95%。</w:t>
      </w:r>
    </w:p>
    <w:p>
      <w:pPr>
        <w:pStyle w:val="7"/>
        <w:ind w:left="0" w:leftChars="0" w:firstLine="48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（三）合同所有软件（产品）的保修期满后，由院方甲方对供货方在服务期内应完成任务进行确认并通过，且收到供货方开具相应金额正式发票后，向供货方支付结算审核价的</w:t>
      </w:r>
      <w:r>
        <w:rPr>
          <w:rFonts w:ascii="微软雅黑" w:hAnsi="微软雅黑" w:eastAsia="微软雅黑" w:cs="微软雅黑"/>
        </w:rPr>
        <w:t>5%。</w:t>
      </w:r>
    </w:p>
    <w:p>
      <w:pPr>
        <w:pStyle w:val="7"/>
        <w:ind w:left="480" w:leftChars="0"/>
        <w:rPr>
          <w:rFonts w:ascii="微软雅黑" w:hAnsi="微软雅黑" w:eastAsia="微软雅黑" w:cs="微软雅黑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0" w:h="16820"/>
      <w:pgMar w:top="1701" w:right="1797" w:bottom="1701" w:left="1797" w:header="850" w:footer="907" w:gutter="0"/>
      <w:pgNumType w:start="0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7196195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-1898734920"/>
    </w:sdtPr>
    <w:sdtEndPr>
      <w:rPr>
        <w:rStyle w:val="18"/>
      </w:rPr>
    </w:sdtEndPr>
    <w:sdtContent>
      <w:p>
        <w:pPr>
          <w:pStyle w:val="9"/>
          <w:framePr w:wrap="auto" w:vAnchor="text" w:hAnchor="margin" w:xAlign="center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separate"/>
        </w:r>
        <w:r>
          <w:rPr>
            <w:rStyle w:val="18"/>
          </w:rPr>
          <w:t>2</w:t>
        </w:r>
        <w:r>
          <w:rPr>
            <w:rStyle w:val="18"/>
          </w:rPr>
          <w:fldChar w:fldCharType="end"/>
        </w:r>
      </w:p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E6863"/>
    <w:multiLevelType w:val="singleLevel"/>
    <w:tmpl w:val="D24E686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7E70028"/>
    <w:multiLevelType w:val="singleLevel"/>
    <w:tmpl w:val="F7E700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wMzVmOGE3ZTMxMTFlNjU0NGE1OTQ0OTA2ZjlmZTQifQ=="/>
  </w:docVars>
  <w:rsids>
    <w:rsidRoot w:val="005A5DDC"/>
    <w:rsid w:val="00005D8E"/>
    <w:rsid w:val="00006DFA"/>
    <w:rsid w:val="00040A11"/>
    <w:rsid w:val="000D2378"/>
    <w:rsid w:val="000F3B50"/>
    <w:rsid w:val="001110FA"/>
    <w:rsid w:val="00111A4D"/>
    <w:rsid w:val="00123F4A"/>
    <w:rsid w:val="00137FAE"/>
    <w:rsid w:val="0017347F"/>
    <w:rsid w:val="00174D2F"/>
    <w:rsid w:val="001952FB"/>
    <w:rsid w:val="001B04E5"/>
    <w:rsid w:val="001F0BDE"/>
    <w:rsid w:val="001F2807"/>
    <w:rsid w:val="00210CD0"/>
    <w:rsid w:val="00212FD9"/>
    <w:rsid w:val="00231EA9"/>
    <w:rsid w:val="002A3D87"/>
    <w:rsid w:val="002D4C8F"/>
    <w:rsid w:val="002F5DA5"/>
    <w:rsid w:val="003207A5"/>
    <w:rsid w:val="0032247B"/>
    <w:rsid w:val="00327160"/>
    <w:rsid w:val="003303A9"/>
    <w:rsid w:val="003D52A9"/>
    <w:rsid w:val="0041210B"/>
    <w:rsid w:val="00421010"/>
    <w:rsid w:val="00422779"/>
    <w:rsid w:val="0044006D"/>
    <w:rsid w:val="00441187"/>
    <w:rsid w:val="0048671F"/>
    <w:rsid w:val="004C63FB"/>
    <w:rsid w:val="004E4DDE"/>
    <w:rsid w:val="0052011D"/>
    <w:rsid w:val="00555B07"/>
    <w:rsid w:val="005611AE"/>
    <w:rsid w:val="005726BA"/>
    <w:rsid w:val="00574D96"/>
    <w:rsid w:val="005A5DDC"/>
    <w:rsid w:val="00622EB5"/>
    <w:rsid w:val="006373BA"/>
    <w:rsid w:val="00662FCD"/>
    <w:rsid w:val="00676928"/>
    <w:rsid w:val="006D16BE"/>
    <w:rsid w:val="006E1949"/>
    <w:rsid w:val="006E32F2"/>
    <w:rsid w:val="00705DB3"/>
    <w:rsid w:val="00723CD9"/>
    <w:rsid w:val="0074412E"/>
    <w:rsid w:val="00750704"/>
    <w:rsid w:val="00755197"/>
    <w:rsid w:val="007715F4"/>
    <w:rsid w:val="00776481"/>
    <w:rsid w:val="00783781"/>
    <w:rsid w:val="00783B56"/>
    <w:rsid w:val="00790C6B"/>
    <w:rsid w:val="00796AE6"/>
    <w:rsid w:val="007A5C29"/>
    <w:rsid w:val="007F046A"/>
    <w:rsid w:val="007F236E"/>
    <w:rsid w:val="007F27FA"/>
    <w:rsid w:val="00807036"/>
    <w:rsid w:val="00823F38"/>
    <w:rsid w:val="00866A41"/>
    <w:rsid w:val="00890824"/>
    <w:rsid w:val="00902196"/>
    <w:rsid w:val="009048E9"/>
    <w:rsid w:val="00973859"/>
    <w:rsid w:val="00994031"/>
    <w:rsid w:val="009A14EF"/>
    <w:rsid w:val="009C0CCF"/>
    <w:rsid w:val="009C7508"/>
    <w:rsid w:val="009F0828"/>
    <w:rsid w:val="00A2539E"/>
    <w:rsid w:val="00A944AF"/>
    <w:rsid w:val="00AA3529"/>
    <w:rsid w:val="00AC60C6"/>
    <w:rsid w:val="00AD3F23"/>
    <w:rsid w:val="00B12BBD"/>
    <w:rsid w:val="00B16D9F"/>
    <w:rsid w:val="00B63E5A"/>
    <w:rsid w:val="00B97094"/>
    <w:rsid w:val="00BD2598"/>
    <w:rsid w:val="00C06616"/>
    <w:rsid w:val="00C7512F"/>
    <w:rsid w:val="00CF04DA"/>
    <w:rsid w:val="00D13C9F"/>
    <w:rsid w:val="00D17BC0"/>
    <w:rsid w:val="00D277E4"/>
    <w:rsid w:val="00D34D15"/>
    <w:rsid w:val="00D75E97"/>
    <w:rsid w:val="00D934BC"/>
    <w:rsid w:val="00D9486B"/>
    <w:rsid w:val="00D96C31"/>
    <w:rsid w:val="00E4395B"/>
    <w:rsid w:val="00E54D47"/>
    <w:rsid w:val="00E569EB"/>
    <w:rsid w:val="00E81845"/>
    <w:rsid w:val="00E82618"/>
    <w:rsid w:val="00EB7E02"/>
    <w:rsid w:val="00EC1D70"/>
    <w:rsid w:val="00EC5C41"/>
    <w:rsid w:val="00EF789C"/>
    <w:rsid w:val="00F37047"/>
    <w:rsid w:val="00F525E8"/>
    <w:rsid w:val="00F57EE5"/>
    <w:rsid w:val="00F91F85"/>
    <w:rsid w:val="03B415AF"/>
    <w:rsid w:val="0C39134A"/>
    <w:rsid w:val="19025242"/>
    <w:rsid w:val="1DF9457C"/>
    <w:rsid w:val="28D84DBC"/>
    <w:rsid w:val="2DB7440C"/>
    <w:rsid w:val="30BD695B"/>
    <w:rsid w:val="3BA06C66"/>
    <w:rsid w:val="4A031EBC"/>
    <w:rsid w:val="511C1A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spacing w:after="100" w:line="259" w:lineRule="auto"/>
      <w:ind w:left="440"/>
    </w:pPr>
    <w:rPr>
      <w:rFonts w:cs="Times New Roman" w:asciiTheme="minorHAnsi" w:hAnsiTheme="minorHAnsi" w:eastAsiaTheme="minorEastAsia"/>
      <w:sz w:val="22"/>
      <w:szCs w:val="22"/>
    </w:rPr>
  </w:style>
  <w:style w:type="paragraph" w:styleId="7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8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spacing w:after="100" w:line="259" w:lineRule="auto"/>
    </w:pPr>
    <w:rPr>
      <w:rFonts w:cs="Times New Roman" w:asciiTheme="minorHAnsi" w:hAnsiTheme="minorHAnsi" w:eastAsiaTheme="minorEastAsia"/>
      <w:sz w:val="22"/>
      <w:szCs w:val="22"/>
    </w:rPr>
  </w:style>
  <w:style w:type="paragraph" w:styleId="12">
    <w:name w:val="Subtitle"/>
    <w:basedOn w:val="1"/>
    <w:next w:val="1"/>
    <w:link w:val="23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3">
    <w:name w:val="toc 2"/>
    <w:basedOn w:val="1"/>
    <w:next w:val="1"/>
    <w:unhideWhenUsed/>
    <w:qFormat/>
    <w:uiPriority w:val="39"/>
    <w:pPr>
      <w:spacing w:after="100" w:line="259" w:lineRule="auto"/>
      <w:ind w:left="220"/>
    </w:pPr>
    <w:rPr>
      <w:rFonts w:cs="Times New Roman" w:asciiTheme="minorHAnsi" w:hAnsiTheme="minorHAnsi" w:eastAsiaTheme="minorEastAsia"/>
      <w:sz w:val="22"/>
      <w:szCs w:val="22"/>
    </w:rPr>
  </w:style>
  <w:style w:type="paragraph" w:styleId="14">
    <w:name w:val="Title"/>
    <w:basedOn w:val="1"/>
    <w:next w:val="1"/>
    <w:link w:val="2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6">
    <w:name w:val="Table Grid"/>
    <w:basedOn w:val="1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semiHidden/>
    <w:unhideWhenUsed/>
    <w:qFormat/>
    <w:uiPriority w:val="99"/>
  </w:style>
  <w:style w:type="character" w:styleId="19">
    <w:name w:val="Hyperlink"/>
    <w:basedOn w:val="17"/>
    <w:unhideWhenUsed/>
    <w:qFormat/>
    <w:uiPriority w:val="99"/>
    <w:rPr>
      <w:color w:val="0563C1" w:themeColor="hyperlink"/>
      <w:u w:val="single"/>
    </w:rPr>
  </w:style>
  <w:style w:type="character" w:customStyle="1" w:styleId="20">
    <w:name w:val="标题 2 Char"/>
    <w:basedOn w:val="1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1">
    <w:name w:val="List Paragraph"/>
    <w:basedOn w:val="1"/>
    <w:link w:val="27"/>
    <w:qFormat/>
    <w:uiPriority w:val="34"/>
    <w:pPr>
      <w:ind w:firstLine="420" w:firstLineChars="200"/>
    </w:pPr>
  </w:style>
  <w:style w:type="character" w:customStyle="1" w:styleId="22">
    <w:name w:val="标题 Char"/>
    <w:basedOn w:val="17"/>
    <w:link w:val="1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副标题 Char"/>
    <w:basedOn w:val="17"/>
    <w:link w:val="12"/>
    <w:qFormat/>
    <w:uiPriority w:val="11"/>
    <w:rPr>
      <w:b/>
      <w:bCs/>
      <w:kern w:val="28"/>
      <w:sz w:val="32"/>
      <w:szCs w:val="32"/>
    </w:rPr>
  </w:style>
  <w:style w:type="character" w:customStyle="1" w:styleId="24">
    <w:name w:val="标题 3 Char"/>
    <w:basedOn w:val="17"/>
    <w:link w:val="4"/>
    <w:qFormat/>
    <w:uiPriority w:val="9"/>
    <w:rPr>
      <w:b/>
      <w:bCs/>
      <w:sz w:val="32"/>
      <w:szCs w:val="32"/>
    </w:rPr>
  </w:style>
  <w:style w:type="character" w:customStyle="1" w:styleId="25">
    <w:name w:val="页眉 Char"/>
    <w:basedOn w:val="17"/>
    <w:link w:val="10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6">
    <w:name w:val="页脚 Char"/>
    <w:basedOn w:val="17"/>
    <w:link w:val="9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7">
    <w:name w:val="列出段落 Char"/>
    <w:link w:val="21"/>
    <w:qFormat/>
    <w:uiPriority w:val="34"/>
    <w:rPr>
      <w:rFonts w:ascii="宋体" w:hAnsi="宋体" w:eastAsia="宋体" w:cs="宋体"/>
      <w:kern w:val="0"/>
      <w:sz w:val="24"/>
    </w:rPr>
  </w:style>
  <w:style w:type="table" w:customStyle="1" w:styleId="28">
    <w:name w:val="网格表 1 浅色1"/>
    <w:basedOn w:val="15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9">
    <w:name w:val="修订1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30">
    <w:name w:val="批注框文本 Char"/>
    <w:basedOn w:val="17"/>
    <w:link w:val="8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31">
    <w:name w:val="标题 1 Char"/>
    <w:link w:val="2"/>
    <w:qFormat/>
    <w:uiPriority w:val="0"/>
    <w:rPr>
      <w:b/>
      <w:kern w:val="44"/>
      <w:sz w:val="44"/>
    </w:rPr>
  </w:style>
  <w:style w:type="paragraph" w:customStyle="1" w:styleId="32">
    <w:name w:val="TOC 标题1"/>
    <w:basedOn w:val="2"/>
    <w:next w:val="1"/>
    <w:unhideWhenUsed/>
    <w:qFormat/>
    <w:uiPriority w:val="39"/>
    <w:p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color w:val="2F549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F574BD-678E-4254-9D5B-010136903A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1842</Characters>
  <Lines>15</Lines>
  <Paragraphs>4</Paragraphs>
  <TotalTime>30</TotalTime>
  <ScaleCrop>false</ScaleCrop>
  <LinksUpToDate>false</LinksUpToDate>
  <CharactersWithSpaces>2160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2023-09-27T00:46:00Z</dcterms:created>
  <dc:creator>海星</dc:creator>
  <cp:lastModifiedBy>赵杰</cp:lastModifiedBy>
  <dcterms:modified xsi:type="dcterms:W3CDTF">2023-09-28T09:14:23Z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90F0F4277ED1464FAA26CEE8B397646B_13</vt:lpwstr>
  </property>
</Properties>
</file>