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2"/>
        <w:spacing w:line="360" w:lineRule="auto"/>
        <w:rPr>
          <w:rFonts w:ascii="宋体" w:hAnsi="宋体"/>
          <w:sz w:val="32"/>
          <w:szCs w:val="32"/>
        </w:rPr>
      </w:pPr>
    </w:p>
    <w:p>
      <w:pPr>
        <w:pStyle w:val="2"/>
        <w:spacing w:line="360" w:lineRule="auto"/>
        <w:rPr>
          <w:rFonts w:ascii="宋体" w:hAnsi="宋体"/>
          <w:sz w:val="32"/>
          <w:szCs w:val="32"/>
        </w:rPr>
      </w:pPr>
      <w:r>
        <w:rPr>
          <w:rFonts w:hint="eastAsia" w:ascii="宋体" w:hAnsi="宋体"/>
          <w:sz w:val="32"/>
          <w:szCs w:val="32"/>
        </w:rPr>
        <w:t>各供应商：</w:t>
      </w:r>
    </w:p>
    <w:p>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2"/>
        <w:spacing w:line="360" w:lineRule="auto"/>
        <w:rPr>
          <w:rFonts w:ascii="宋体" w:hAnsi="宋体"/>
          <w:sz w:val="32"/>
          <w:szCs w:val="32"/>
        </w:rPr>
      </w:pPr>
    </w:p>
    <w:p>
      <w:pPr>
        <w:pStyle w:val="2"/>
        <w:spacing w:line="360" w:lineRule="auto"/>
        <w:rPr>
          <w:rFonts w:ascii="宋体" w:hAnsi="宋体"/>
          <w:sz w:val="32"/>
          <w:szCs w:val="32"/>
        </w:rPr>
      </w:pPr>
    </w:p>
    <w:p>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2"/>
        <w:spacing w:line="360" w:lineRule="auto"/>
        <w:ind w:firstLine="5600" w:firstLineChars="1750"/>
        <w:rPr>
          <w:rFonts w:ascii="宋体" w:hAnsi="宋体"/>
          <w:sz w:val="32"/>
          <w:szCs w:val="32"/>
        </w:rPr>
      </w:pPr>
      <w:r>
        <w:rPr>
          <w:rFonts w:hint="eastAsia" w:ascii="宋体" w:hAnsi="宋体"/>
          <w:sz w:val="32"/>
          <w:szCs w:val="32"/>
        </w:rPr>
        <w:t>2023年10</w:t>
      </w:r>
      <w:r>
        <w:rPr>
          <w:rFonts w:ascii="宋体" w:hAnsi="宋体"/>
          <w:sz w:val="32"/>
          <w:szCs w:val="32"/>
        </w:rPr>
        <w:t>月</w:t>
      </w:r>
      <w:r>
        <w:rPr>
          <w:rFonts w:hint="eastAsia" w:ascii="宋体" w:hAnsi="宋体"/>
          <w:sz w:val="32"/>
          <w:szCs w:val="32"/>
          <w:lang w:val="en-US" w:eastAsia="zh-CN"/>
        </w:rPr>
        <w:t>30</w:t>
      </w:r>
      <w:r>
        <w:rPr>
          <w:rFonts w:hint="eastAsia" w:ascii="宋体" w:hAnsi="宋体"/>
          <w:sz w:val="32"/>
          <w:szCs w:val="32"/>
        </w:rPr>
        <w:t>日</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3"/>
        <w:numPr>
          <w:ilvl w:val="1"/>
          <w:numId w:val="0"/>
        </w:numPr>
        <w:rPr>
          <w:rFonts w:ascii="宋体" w:hAnsi="宋体" w:eastAsia="宋体" w:cs="宋体"/>
          <w:b w:val="0"/>
          <w:bCs w:val="0"/>
          <w:color w:val="auto"/>
          <w:kern w:val="2"/>
          <w:sz w:val="32"/>
          <w:szCs w:val="24"/>
        </w:rPr>
      </w:pPr>
    </w:p>
    <w:p/>
    <w:p>
      <w:pPr>
        <w:pStyle w:val="2"/>
      </w:pPr>
    </w:p>
    <w:p/>
    <w:p>
      <w:pPr>
        <w:pStyle w:val="2"/>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2"/>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5"/>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5"/>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3"/>
        <w:numPr>
          <w:ilvl w:val="1"/>
          <w:numId w:val="0"/>
        </w:numPr>
      </w:pP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4"/>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5"/>
        <w:spacing w:line="360" w:lineRule="auto"/>
        <w:rPr>
          <w:rFonts w:hAnsi="宋体" w:cs="宋体"/>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5"/>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2"/>
        <w:rPr>
          <w:rFonts w:ascii="宋体" w:hAnsi="宋体"/>
          <w:szCs w:val="21"/>
        </w:rPr>
      </w:pPr>
    </w:p>
    <w:p>
      <w:pPr>
        <w:pStyle w:val="2"/>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9"/>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3"/>
        <w:numPr>
          <w:ilvl w:val="1"/>
          <w:numId w:val="0"/>
        </w:numPr>
      </w:pPr>
    </w:p>
    <w:p>
      <w:pPr>
        <w:pStyle w:val="5"/>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9"/>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1"/>
                <w:rFonts w:hint="eastAsia" w:ascii="宋体" w:hAnsi="宋体"/>
                <w:sz w:val="28"/>
                <w:szCs w:val="28"/>
              </w:rPr>
              <w:t>采购文件</w:t>
            </w:r>
            <w:r>
              <w:rPr>
                <w:rStyle w:val="11"/>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8"/>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必须具有良好的商业信誉和健全的财务会计制度（提供2020年度财务状况报告，或2021年内由基本开户行出具的资信证明，或守合同重信用证书，或企业信用等级证书复印件）。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5"/>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2"/>
      </w:pPr>
    </w:p>
    <w:p>
      <w:pPr>
        <w:pStyle w:val="2"/>
      </w:pPr>
    </w:p>
    <w:p>
      <w:r>
        <w:br w:type="page"/>
      </w:r>
    </w:p>
    <w:tbl>
      <w:tblPr>
        <w:tblStyle w:val="9"/>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分）</w:t>
            </w:r>
          </w:p>
          <w:tbl>
            <w:tblPr>
              <w:tblStyle w:val="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492"/>
              <w:gridCol w:w="849"/>
              <w:gridCol w:w="482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企业诚信</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2</w:t>
                  </w:r>
                </w:p>
              </w:tc>
              <w:tc>
                <w:tcPr>
                  <w:tcW w:w="2577" w:type="pct"/>
                  <w:vAlign w:val="center"/>
                </w:tcPr>
                <w:p>
                  <w:pPr>
                    <w:widowControl/>
                    <w:jc w:val="left"/>
                    <w:rPr>
                      <w:rFonts w:ascii="宋体" w:hAnsi="宋体"/>
                      <w:b/>
                      <w:color w:val="000000"/>
                      <w:sz w:val="28"/>
                      <w:szCs w:val="28"/>
                    </w:rPr>
                  </w:pPr>
                  <w:r>
                    <w:rPr>
                      <w:rFonts w:hint="eastAsia" w:ascii="宋体" w:hAnsi="宋体"/>
                      <w:color w:val="000000"/>
                      <w:sz w:val="28"/>
                      <w:szCs w:val="28"/>
                    </w:rPr>
                    <w:t>投标人未被列入“信用中国”网站(www.creditchina.gov.cn)“记录失信被执行人或重大税收违法案件当事人名单”记录名单；不</w:t>
                  </w:r>
                  <w:r>
                    <w:rPr>
                      <w:rFonts w:hint="eastAsia" w:ascii="宋体" w:hAnsi="宋体"/>
                      <w:color w:val="000000"/>
                      <w:sz w:val="28"/>
                      <w:szCs w:val="28"/>
                      <w:lang w:val="en-US" w:eastAsia="zh-CN"/>
                    </w:rPr>
                    <w:t>同</w:t>
                  </w:r>
                  <w:bookmarkStart w:id="0" w:name="_GoBack"/>
                  <w:bookmarkEnd w:id="0"/>
                  <w:r>
                    <w:rPr>
                      <w:rFonts w:hint="eastAsia" w:ascii="宋体" w:hAnsi="宋体"/>
                      <w:color w:val="000000"/>
                      <w:sz w:val="28"/>
                      <w:szCs w:val="28"/>
                    </w:rPr>
                    <w:t>于中国政府采购网(www.ccgp.gov.cn)“政府采购严重违法失信行为信息记录”中的禁止参加政府采购活动期间。（以采购代理机构于投标（响应） 截止时间当天在“信用中国”网站（www.creditchina.gov.cn）及中国政府采购网（http://www.ccgp.gov.cn/）查询结果为准，如相关失信记录已失效，供应商需提供相关证明资料）</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2</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项目团队</w:t>
                  </w:r>
                </w:p>
              </w:tc>
              <w:tc>
                <w:tcPr>
                  <w:tcW w:w="454" w:type="pct"/>
                  <w:vAlign w:val="center"/>
                </w:tcPr>
                <w:p>
                  <w:pPr>
                    <w:widowControl/>
                    <w:jc w:val="center"/>
                    <w:rPr>
                      <w:rFonts w:ascii="宋体" w:hAnsi="宋体"/>
                      <w:b/>
                      <w:color w:val="000000"/>
                      <w:sz w:val="28"/>
                      <w:szCs w:val="28"/>
                    </w:rPr>
                  </w:pPr>
                  <w:r>
                    <w:rPr>
                      <w:rFonts w:ascii="宋体" w:hAnsi="宋体"/>
                      <w:b/>
                      <w:color w:val="000000"/>
                      <w:sz w:val="28"/>
                      <w:szCs w:val="28"/>
                    </w:rPr>
                    <w:t>3</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投标人需对以下要求提供书面承诺及证明文件：</w:t>
                  </w:r>
                </w:p>
                <w:p>
                  <w:pPr>
                    <w:widowControl/>
                    <w:jc w:val="left"/>
                    <w:rPr>
                      <w:rFonts w:ascii="宋体" w:hAnsi="宋体"/>
                      <w:color w:val="000000"/>
                      <w:sz w:val="28"/>
                      <w:szCs w:val="28"/>
                    </w:rPr>
                  </w:pPr>
                  <w:r>
                    <w:rPr>
                      <w:rFonts w:hint="eastAsia" w:ascii="宋体" w:hAnsi="宋体"/>
                      <w:color w:val="000000"/>
                      <w:sz w:val="28"/>
                      <w:szCs w:val="28"/>
                    </w:rPr>
                    <w:t>投标人提供本项目服务人员数量进行评分，项目服务人员包含：原厂技术工程师（不少于2人），项目经理及维护人员。人员数量在6人（含）以上得</w:t>
                  </w:r>
                  <w:r>
                    <w:rPr>
                      <w:rFonts w:ascii="宋体" w:hAnsi="宋体"/>
                      <w:color w:val="000000"/>
                      <w:sz w:val="28"/>
                      <w:szCs w:val="28"/>
                    </w:rPr>
                    <w:t>3</w:t>
                  </w:r>
                  <w:r>
                    <w:rPr>
                      <w:rFonts w:hint="eastAsia" w:ascii="宋体" w:hAnsi="宋体"/>
                      <w:color w:val="000000"/>
                      <w:sz w:val="28"/>
                      <w:szCs w:val="28"/>
                    </w:rPr>
                    <w:t>分，人员数量在3人（含）-6人（不含）得</w:t>
                  </w:r>
                  <w:r>
                    <w:rPr>
                      <w:rFonts w:ascii="宋体" w:hAnsi="宋体"/>
                      <w:color w:val="000000"/>
                      <w:sz w:val="28"/>
                      <w:szCs w:val="28"/>
                    </w:rPr>
                    <w:t>1</w:t>
                  </w:r>
                  <w:r>
                    <w:rPr>
                      <w:rFonts w:hint="eastAsia" w:ascii="宋体" w:hAnsi="宋体"/>
                      <w:color w:val="000000"/>
                      <w:sz w:val="28"/>
                      <w:szCs w:val="28"/>
                    </w:rPr>
                    <w:t>分，人员数量少于3人不得分。</w:t>
                  </w:r>
                </w:p>
                <w:p>
                  <w:pPr>
                    <w:widowControl/>
                    <w:jc w:val="left"/>
                    <w:rPr>
                      <w:rFonts w:ascii="宋体" w:hAnsi="宋体"/>
                      <w:b/>
                      <w:color w:val="000000"/>
                      <w:sz w:val="28"/>
                      <w:szCs w:val="28"/>
                    </w:rPr>
                  </w:pPr>
                  <w:r>
                    <w:rPr>
                      <w:rFonts w:hint="eastAsia" w:ascii="宋体" w:hAnsi="宋体"/>
                      <w:color w:val="000000"/>
                      <w:sz w:val="28"/>
                      <w:szCs w:val="28"/>
                    </w:rPr>
                    <w:t>注：提供服务人员清单、投标截止日前最近连续三个月在投标单位缴纳的社保证明等相关材料。</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3</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服务响应</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6</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1.根据投标人对本项目的响应时间进行评分：</w:t>
                  </w:r>
                </w:p>
                <w:p>
                  <w:pPr>
                    <w:widowControl/>
                    <w:jc w:val="left"/>
                    <w:rPr>
                      <w:rFonts w:ascii="宋体" w:hAnsi="宋体"/>
                      <w:color w:val="000000"/>
                      <w:sz w:val="28"/>
                      <w:szCs w:val="28"/>
                    </w:rPr>
                  </w:pPr>
                  <w:r>
                    <w:rPr>
                      <w:rFonts w:hint="eastAsia" w:ascii="宋体" w:hAnsi="宋体"/>
                      <w:color w:val="000000"/>
                      <w:sz w:val="28"/>
                      <w:szCs w:val="28"/>
                    </w:rPr>
                    <w:t>提供1名驻场人员；或未提供驻场人员但是在接到广东省人民医院服务要求后</w:t>
                  </w:r>
                  <w:r>
                    <w:rPr>
                      <w:rFonts w:ascii="宋体" w:hAnsi="宋体"/>
                      <w:color w:val="000000"/>
                      <w:sz w:val="28"/>
                      <w:szCs w:val="28"/>
                    </w:rPr>
                    <w:t>0.5</w:t>
                  </w:r>
                  <w:r>
                    <w:rPr>
                      <w:rFonts w:hint="eastAsia" w:ascii="宋体" w:hAnsi="宋体"/>
                      <w:color w:val="000000"/>
                      <w:sz w:val="28"/>
                      <w:szCs w:val="28"/>
                    </w:rPr>
                    <w:t>小时内响应且实施人员能在</w:t>
                  </w:r>
                  <w:r>
                    <w:rPr>
                      <w:rFonts w:ascii="宋体" w:hAnsi="宋体"/>
                      <w:color w:val="000000"/>
                      <w:sz w:val="28"/>
                      <w:szCs w:val="28"/>
                    </w:rPr>
                    <w:t>0.5</w:t>
                  </w:r>
                  <w:r>
                    <w:rPr>
                      <w:rFonts w:hint="eastAsia" w:ascii="宋体" w:hAnsi="宋体"/>
                      <w:color w:val="000000"/>
                      <w:sz w:val="28"/>
                      <w:szCs w:val="28"/>
                    </w:rPr>
                    <w:t>小时内到达项目现场（广州市越秀区中山二路106号）的，得</w:t>
                  </w:r>
                  <w:r>
                    <w:rPr>
                      <w:rFonts w:ascii="宋体" w:hAnsi="宋体"/>
                      <w:color w:val="000000"/>
                      <w:sz w:val="28"/>
                      <w:szCs w:val="28"/>
                    </w:rPr>
                    <w:t>6</w:t>
                  </w:r>
                  <w:r>
                    <w:rPr>
                      <w:rFonts w:hint="eastAsia" w:ascii="宋体" w:hAnsi="宋体"/>
                      <w:color w:val="000000"/>
                      <w:sz w:val="28"/>
                      <w:szCs w:val="28"/>
                    </w:rPr>
                    <w:t>分。</w:t>
                  </w:r>
                </w:p>
                <w:p>
                  <w:pPr>
                    <w:widowControl/>
                    <w:jc w:val="left"/>
                    <w:rPr>
                      <w:rFonts w:ascii="宋体" w:hAnsi="宋体"/>
                      <w:color w:val="000000"/>
                      <w:sz w:val="28"/>
                      <w:szCs w:val="28"/>
                    </w:rPr>
                  </w:pPr>
                  <w:r>
                    <w:rPr>
                      <w:rFonts w:hint="eastAsia" w:ascii="宋体" w:hAnsi="宋体"/>
                      <w:color w:val="000000"/>
                      <w:sz w:val="28"/>
                      <w:szCs w:val="28"/>
                    </w:rPr>
                    <w:t>未提供驻场人员，但在接到广东省人民医院服务要求后1小时内响应且实施人员能在1小时内到达项目现场（广州市越秀区中山二路106号）的，得</w:t>
                  </w:r>
                  <w:r>
                    <w:rPr>
                      <w:rFonts w:ascii="宋体" w:hAnsi="宋体"/>
                      <w:color w:val="000000"/>
                      <w:sz w:val="28"/>
                      <w:szCs w:val="28"/>
                    </w:rPr>
                    <w:t>2</w:t>
                  </w:r>
                  <w:r>
                    <w:rPr>
                      <w:rFonts w:hint="eastAsia" w:ascii="宋体" w:hAnsi="宋体"/>
                      <w:color w:val="000000"/>
                      <w:sz w:val="28"/>
                      <w:szCs w:val="28"/>
                    </w:rPr>
                    <w:t>分。</w:t>
                  </w:r>
                </w:p>
                <w:p>
                  <w:pPr>
                    <w:widowControl/>
                    <w:jc w:val="left"/>
                    <w:rPr>
                      <w:rFonts w:ascii="宋体" w:hAnsi="宋体"/>
                      <w:color w:val="000000"/>
                      <w:sz w:val="28"/>
                      <w:szCs w:val="28"/>
                    </w:rPr>
                  </w:pPr>
                  <w:r>
                    <w:rPr>
                      <w:rFonts w:hint="eastAsia" w:ascii="宋体" w:hAnsi="宋体"/>
                      <w:color w:val="000000"/>
                      <w:sz w:val="28"/>
                      <w:szCs w:val="28"/>
                    </w:rPr>
                    <w:t>其它情况不得分。</w:t>
                  </w:r>
                </w:p>
                <w:p>
                  <w:pPr>
                    <w:widowControl/>
                    <w:jc w:val="left"/>
                    <w:rPr>
                      <w:rFonts w:ascii="宋体" w:hAnsi="宋体"/>
                      <w:b/>
                      <w:color w:val="000000"/>
                      <w:sz w:val="28"/>
                      <w:szCs w:val="28"/>
                    </w:rPr>
                  </w:pPr>
                  <w:r>
                    <w:rPr>
                      <w:rFonts w:hint="eastAsia" w:ascii="宋体" w:hAnsi="宋体"/>
                      <w:color w:val="000000"/>
                      <w:sz w:val="28"/>
                      <w:szCs w:val="28"/>
                    </w:rPr>
                    <w:t>注：未提供驻场人员的，投标人须同时提供资料以支撑所承诺响应时间：承诺函加盖投标人公章，格式自拟。不提供或提供不全不得分。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4</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实施案例</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4</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提供投标人自2020年1月1日以来（以合同生效时间为准）与同类客户签订的手术室同类项目案例的合同。每个得2分，最高得4分。需同时提供合同复印件作为评审依据，原件备查。资料不全不得分。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2"/>
              <w:rPr>
                <w:rFonts w:ascii="宋体" w:hAnsi="宋体" w:cs="Times New Roman"/>
                <w:bCs/>
                <w:szCs w:val="21"/>
              </w:rPr>
            </w:pPr>
          </w:p>
        </w:tc>
      </w:tr>
    </w:tbl>
    <w:p>
      <w:pPr>
        <w:widowControl/>
        <w:textAlignment w:val="center"/>
      </w:pPr>
    </w:p>
    <w:p>
      <w:pPr>
        <w:pStyle w:val="2"/>
      </w:pPr>
      <w:r>
        <w:br w:type="page"/>
      </w:r>
    </w:p>
    <w:tbl>
      <w:tblPr>
        <w:tblStyle w:val="9"/>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770"/>
      </w:tblGrid>
      <w:t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50</w:t>
            </w:r>
            <w:r>
              <w:rPr>
                <w:rFonts w:hint="eastAsia" w:ascii="方正小标宋简体" w:hAnsi="方正小标宋简体" w:eastAsia="方正小标宋简体" w:cs="方正小标宋简体"/>
                <w:sz w:val="44"/>
                <w:szCs w:val="44"/>
              </w:rPr>
              <w:t>分）</w:t>
            </w:r>
          </w:p>
          <w:tbl>
            <w:tblPr>
              <w:tblStyle w:val="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1494"/>
              <w:gridCol w:w="847"/>
              <w:gridCol w:w="5217"/>
              <w:gridCol w:w="84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8"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2"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产品认证</w:t>
                  </w:r>
                </w:p>
              </w:tc>
              <w:tc>
                <w:tcPr>
                  <w:tcW w:w="435" w:type="pct"/>
                  <w:vAlign w:val="center"/>
                </w:tcPr>
                <w:p>
                  <w:pPr>
                    <w:widowControl/>
                    <w:jc w:val="center"/>
                    <w:rPr>
                      <w:rFonts w:ascii="宋体" w:hAnsi="宋体"/>
                      <w:color w:val="000000"/>
                      <w:sz w:val="28"/>
                      <w:szCs w:val="28"/>
                    </w:rPr>
                  </w:pPr>
                  <w:r>
                    <w:rPr>
                      <w:rFonts w:ascii="宋体" w:hAnsi="宋体"/>
                      <w:color w:val="000000"/>
                      <w:sz w:val="28"/>
                      <w:szCs w:val="28"/>
                    </w:rPr>
                    <w:t>4</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提供医显终端产品资质证书：</w:t>
                  </w:r>
                </w:p>
                <w:p>
                  <w:pPr>
                    <w:widowControl/>
                    <w:jc w:val="left"/>
                    <w:rPr>
                      <w:rFonts w:ascii="宋体" w:hAnsi="宋体"/>
                      <w:color w:val="000000"/>
                      <w:sz w:val="28"/>
                      <w:szCs w:val="28"/>
                    </w:rPr>
                  </w:pPr>
                  <w:r>
                    <w:rPr>
                      <w:rFonts w:hint="eastAsia" w:ascii="宋体" w:hAnsi="宋体"/>
                      <w:color w:val="000000"/>
                      <w:sz w:val="28"/>
                      <w:szCs w:val="28"/>
                    </w:rPr>
                    <w:t>1.提供产品CCC证书，得1分；</w:t>
                  </w:r>
                </w:p>
                <w:p>
                  <w:pPr>
                    <w:widowControl/>
                    <w:jc w:val="left"/>
                    <w:rPr>
                      <w:rFonts w:ascii="宋体" w:hAnsi="宋体"/>
                      <w:color w:val="000000"/>
                      <w:sz w:val="28"/>
                      <w:szCs w:val="28"/>
                    </w:rPr>
                  </w:pPr>
                  <w:r>
                    <w:rPr>
                      <w:rFonts w:hint="eastAsia" w:ascii="宋体" w:hAnsi="宋体"/>
                      <w:color w:val="000000"/>
                      <w:sz w:val="28"/>
                      <w:szCs w:val="28"/>
                    </w:rPr>
                    <w:t>2.提供产品节能证书，得1分；</w:t>
                  </w:r>
                </w:p>
                <w:p>
                  <w:pPr>
                    <w:widowControl/>
                    <w:jc w:val="left"/>
                    <w:rPr>
                      <w:rFonts w:ascii="宋体" w:hAnsi="宋体"/>
                      <w:color w:val="000000"/>
                      <w:sz w:val="28"/>
                      <w:szCs w:val="28"/>
                    </w:rPr>
                  </w:pPr>
                  <w:r>
                    <w:rPr>
                      <w:rFonts w:hint="eastAsia" w:ascii="宋体" w:hAnsi="宋体"/>
                      <w:color w:val="000000"/>
                      <w:sz w:val="28"/>
                      <w:szCs w:val="28"/>
                    </w:rPr>
                    <w:t>3.计算机软件著作权登记证书，得1分；</w:t>
                  </w:r>
                </w:p>
                <w:p>
                  <w:pPr>
                    <w:widowControl/>
                    <w:jc w:val="left"/>
                    <w:rPr>
                      <w:rFonts w:hint="eastAsia" w:ascii="宋体" w:hAnsi="宋体"/>
                      <w:color w:val="000000"/>
                      <w:sz w:val="28"/>
                      <w:szCs w:val="28"/>
                    </w:rPr>
                  </w:pPr>
                  <w:r>
                    <w:rPr>
                      <w:rFonts w:hint="eastAsia" w:ascii="宋体" w:hAnsi="宋体"/>
                      <w:color w:val="000000"/>
                      <w:sz w:val="28"/>
                      <w:szCs w:val="28"/>
                    </w:rPr>
                    <w:t>4.产品CE证书，得1分；</w:t>
                  </w:r>
                </w:p>
              </w:tc>
              <w:tc>
                <w:tcPr>
                  <w:tcW w:w="435" w:type="pct"/>
                  <w:vAlign w:val="center"/>
                </w:tcPr>
                <w:p>
                  <w:pPr>
                    <w:widowControl/>
                    <w:jc w:val="center"/>
                    <w:rPr>
                      <w:rFonts w:ascii="宋体" w:hAnsi="宋体"/>
                      <w:b/>
                      <w:color w:val="000000"/>
                      <w:sz w:val="28"/>
                      <w:szCs w:val="28"/>
                    </w:rPr>
                  </w:pPr>
                </w:p>
              </w:tc>
              <w:tc>
                <w:tcPr>
                  <w:tcW w:w="432"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技术参数</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3</w:t>
                  </w:r>
                  <w:r>
                    <w:rPr>
                      <w:rFonts w:ascii="宋体" w:hAnsi="宋体"/>
                      <w:b/>
                      <w:color w:val="000000"/>
                      <w:sz w:val="28"/>
                      <w:szCs w:val="28"/>
                    </w:rPr>
                    <w:t>5</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完全满足或优于招标文件采购人需求的；</w:t>
                  </w:r>
                </w:p>
                <w:p>
                  <w:pPr>
                    <w:widowControl/>
                    <w:jc w:val="left"/>
                    <w:rPr>
                      <w:rFonts w:ascii="宋体" w:hAnsi="宋体"/>
                      <w:color w:val="000000"/>
                      <w:sz w:val="28"/>
                      <w:szCs w:val="28"/>
                    </w:rPr>
                  </w:pPr>
                  <w:r>
                    <w:rPr>
                      <w:rFonts w:hint="eastAsia" w:ascii="宋体" w:hAnsi="宋体"/>
                      <w:color w:val="000000"/>
                      <w:sz w:val="28"/>
                      <w:szCs w:val="28"/>
                    </w:rPr>
                    <w:t>1.每有一项带“▲”条款负偏离或不响应则扣</w:t>
                  </w:r>
                  <w:r>
                    <w:rPr>
                      <w:rFonts w:ascii="宋体" w:hAnsi="宋体"/>
                      <w:color w:val="000000"/>
                      <w:sz w:val="28"/>
                      <w:szCs w:val="28"/>
                    </w:rPr>
                    <w:t>5</w:t>
                  </w:r>
                  <w:r>
                    <w:rPr>
                      <w:rFonts w:hint="eastAsia" w:ascii="宋体" w:hAnsi="宋体"/>
                      <w:color w:val="000000"/>
                      <w:sz w:val="28"/>
                      <w:szCs w:val="28"/>
                    </w:rPr>
                    <w:t>分，扣完为止；</w:t>
                  </w:r>
                </w:p>
                <w:p>
                  <w:pPr>
                    <w:widowControl/>
                    <w:jc w:val="left"/>
                    <w:rPr>
                      <w:rFonts w:ascii="宋体" w:hAnsi="宋体"/>
                      <w:color w:val="000000"/>
                      <w:sz w:val="28"/>
                      <w:szCs w:val="28"/>
                    </w:rPr>
                  </w:pPr>
                  <w:r>
                    <w:rPr>
                      <w:rFonts w:hint="eastAsia" w:ascii="宋体" w:hAnsi="宋体"/>
                      <w:color w:val="000000"/>
                      <w:sz w:val="28"/>
                      <w:szCs w:val="28"/>
                    </w:rPr>
                    <w:t>2.每有一项非“▲”条款负偏离或不响应则扣</w:t>
                  </w:r>
                  <w:r>
                    <w:rPr>
                      <w:rFonts w:ascii="宋体" w:hAnsi="宋体"/>
                      <w:color w:val="000000"/>
                      <w:sz w:val="28"/>
                      <w:szCs w:val="28"/>
                    </w:rPr>
                    <w:t>1</w:t>
                  </w:r>
                  <w:r>
                    <w:rPr>
                      <w:rFonts w:hint="eastAsia" w:ascii="宋体" w:hAnsi="宋体"/>
                      <w:color w:val="000000"/>
                      <w:sz w:val="28"/>
                      <w:szCs w:val="28"/>
                    </w:rPr>
                    <w:t>分，扣完为止。</w:t>
                  </w:r>
                </w:p>
                <w:p>
                  <w:pPr>
                    <w:widowControl/>
                    <w:jc w:val="left"/>
                    <w:rPr>
                      <w:rFonts w:ascii="宋体" w:hAnsi="宋体"/>
                      <w:color w:val="000000"/>
                      <w:sz w:val="28"/>
                      <w:szCs w:val="28"/>
                    </w:rPr>
                  </w:pPr>
                  <w:r>
                    <w:rPr>
                      <w:rFonts w:hint="eastAsia" w:ascii="宋体" w:hAnsi="宋体"/>
                      <w:color w:val="000000"/>
                      <w:sz w:val="28"/>
                      <w:szCs w:val="28"/>
                    </w:rPr>
                    <w:t>（投标人须提供报价产品彩页或厂家出具的技术资料作为证明，否则视作不符合招标要求）</w:t>
                  </w:r>
                </w:p>
              </w:tc>
              <w:tc>
                <w:tcPr>
                  <w:tcW w:w="435" w:type="pct"/>
                  <w:vAlign w:val="center"/>
                </w:tcPr>
                <w:p>
                  <w:pPr>
                    <w:widowControl/>
                    <w:jc w:val="center"/>
                    <w:rPr>
                      <w:rFonts w:ascii="宋体" w:hAnsi="宋体"/>
                      <w:b/>
                      <w:color w:val="000000"/>
                      <w:sz w:val="28"/>
                      <w:szCs w:val="28"/>
                    </w:rPr>
                  </w:pPr>
                </w:p>
              </w:tc>
              <w:tc>
                <w:tcPr>
                  <w:tcW w:w="432"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系统整体设计与项目实施方案</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r>
                    <w:rPr>
                      <w:rFonts w:ascii="宋体" w:hAnsi="宋体"/>
                      <w:b/>
                      <w:color w:val="000000"/>
                      <w:sz w:val="28"/>
                      <w:szCs w:val="28"/>
                    </w:rPr>
                    <w:t>0</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考察对比供应商所提供设计方案的系统性能、架构、配置是否具有科学性、合理性和规划性，系统建设的质量保证措施和服务承诺是否具有实用性，对项目实施现场的了解情况以及项目安装实施方案进行横向对比，完善规范、科学合理、实用性强综合评价优得10分；规范性一般、合理性一般、实用性一般综合评价一般5分；规范性差或合理性差或实用性差综合评价差得1分；无提供相关方案0分。</w:t>
                  </w:r>
                </w:p>
              </w:tc>
              <w:tc>
                <w:tcPr>
                  <w:tcW w:w="435" w:type="pct"/>
                  <w:vAlign w:val="center"/>
                </w:tcPr>
                <w:p>
                  <w:pPr>
                    <w:widowControl/>
                    <w:jc w:val="center"/>
                    <w:rPr>
                      <w:rFonts w:ascii="宋体" w:hAnsi="宋体"/>
                      <w:b/>
                      <w:color w:val="000000"/>
                      <w:sz w:val="28"/>
                      <w:szCs w:val="28"/>
                    </w:rPr>
                  </w:pPr>
                </w:p>
              </w:tc>
              <w:tc>
                <w:tcPr>
                  <w:tcW w:w="432"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售后方案</w:t>
                  </w:r>
                </w:p>
              </w:tc>
              <w:tc>
                <w:tcPr>
                  <w:tcW w:w="435" w:type="pct"/>
                  <w:vAlign w:val="center"/>
                </w:tcPr>
                <w:p>
                  <w:pPr>
                    <w:widowControl/>
                    <w:jc w:val="left"/>
                    <w:rPr>
                      <w:rFonts w:ascii="宋体" w:hAnsi="宋体"/>
                      <w:color w:val="000000"/>
                      <w:sz w:val="28"/>
                      <w:szCs w:val="28"/>
                    </w:rPr>
                  </w:pPr>
                  <w:r>
                    <w:rPr>
                      <w:rFonts w:ascii="宋体" w:hAnsi="宋体"/>
                      <w:color w:val="000000"/>
                      <w:sz w:val="28"/>
                      <w:szCs w:val="28"/>
                    </w:rPr>
                    <w:t>6</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根据各投标人的技术支持能力，售后服务方承诺条款及保证、质保期、质保范围、后续服务支持方案等进行横向对比。</w:t>
                  </w:r>
                </w:p>
                <w:p>
                  <w:pPr>
                    <w:widowControl/>
                    <w:jc w:val="left"/>
                    <w:rPr>
                      <w:rFonts w:ascii="宋体" w:hAnsi="宋体"/>
                      <w:color w:val="000000"/>
                      <w:sz w:val="28"/>
                      <w:szCs w:val="28"/>
                    </w:rPr>
                  </w:pPr>
                  <w:r>
                    <w:rPr>
                      <w:rFonts w:hint="eastAsia" w:ascii="宋体" w:hAnsi="宋体"/>
                      <w:color w:val="000000"/>
                      <w:sz w:val="28"/>
                      <w:szCs w:val="28"/>
                    </w:rPr>
                    <w:t>投标人需对以下要求出具书面承诺：</w:t>
                  </w:r>
                </w:p>
                <w:p>
                  <w:pPr>
                    <w:widowControl/>
                    <w:jc w:val="left"/>
                    <w:rPr>
                      <w:rFonts w:ascii="宋体" w:hAnsi="宋体"/>
                      <w:color w:val="000000"/>
                      <w:sz w:val="28"/>
                      <w:szCs w:val="28"/>
                    </w:rPr>
                  </w:pPr>
                  <w:r>
                    <w:rPr>
                      <w:rFonts w:hint="eastAsia" w:ascii="宋体" w:hAnsi="宋体"/>
                      <w:color w:val="000000"/>
                      <w:sz w:val="28"/>
                      <w:szCs w:val="28"/>
                    </w:rPr>
                    <w:t>1.应急维修时间安排：接到用户报故障（一般故障（系统运行正常））时，响应及到场时间最短的得2分；次之的得1分；其余不得分。</w:t>
                  </w:r>
                </w:p>
                <w:p>
                  <w:pPr>
                    <w:widowControl/>
                    <w:jc w:val="left"/>
                    <w:rPr>
                      <w:rFonts w:ascii="宋体" w:hAnsi="宋体"/>
                      <w:color w:val="000000"/>
                      <w:sz w:val="28"/>
                      <w:szCs w:val="28"/>
                    </w:rPr>
                  </w:pPr>
                  <w:r>
                    <w:rPr>
                      <w:rFonts w:hint="eastAsia" w:ascii="宋体" w:hAnsi="宋体"/>
                      <w:color w:val="000000"/>
                      <w:sz w:val="28"/>
                      <w:szCs w:val="28"/>
                    </w:rPr>
                    <w:t>2.技术人员培训：承诺对用户使用、维修人员进行使用操作、日常维护维修、紧急情况的处理等的培训及考核，至用户熟练为止，得2分；未提供不得分。</w:t>
                  </w:r>
                </w:p>
                <w:p>
                  <w:pPr>
                    <w:widowControl/>
                    <w:jc w:val="left"/>
                    <w:rPr>
                      <w:rFonts w:ascii="宋体" w:hAnsi="宋体"/>
                      <w:color w:val="000000"/>
                      <w:sz w:val="28"/>
                      <w:szCs w:val="28"/>
                    </w:rPr>
                  </w:pPr>
                  <w:r>
                    <w:rPr>
                      <w:rFonts w:hint="eastAsia" w:ascii="宋体" w:hAnsi="宋体"/>
                      <w:color w:val="000000"/>
                      <w:sz w:val="28"/>
                      <w:szCs w:val="28"/>
                    </w:rPr>
                    <w:t>3.定期巡场维护：支持在使用方有重要检查及使用安排前期按要求做巡场维护检测；正常使用期间每6个月周期至少做一次巡场维护，响应，得</w:t>
                  </w:r>
                  <w:r>
                    <w:rPr>
                      <w:rFonts w:ascii="宋体" w:hAnsi="宋体"/>
                      <w:color w:val="000000"/>
                      <w:sz w:val="28"/>
                      <w:szCs w:val="28"/>
                    </w:rPr>
                    <w:t>2</w:t>
                  </w:r>
                  <w:r>
                    <w:rPr>
                      <w:rFonts w:hint="eastAsia" w:ascii="宋体" w:hAnsi="宋体"/>
                      <w:color w:val="000000"/>
                      <w:sz w:val="28"/>
                      <w:szCs w:val="28"/>
                    </w:rPr>
                    <w:t>分；不响应不得分。</w:t>
                  </w:r>
                </w:p>
              </w:tc>
              <w:tc>
                <w:tcPr>
                  <w:tcW w:w="435" w:type="pct"/>
                  <w:vAlign w:val="center"/>
                </w:tcPr>
                <w:p>
                  <w:pPr>
                    <w:widowControl/>
                    <w:jc w:val="center"/>
                    <w:rPr>
                      <w:rFonts w:ascii="宋体" w:hAnsi="宋体"/>
                      <w:b/>
                      <w:color w:val="000000"/>
                      <w:sz w:val="28"/>
                      <w:szCs w:val="28"/>
                    </w:rPr>
                  </w:pPr>
                </w:p>
              </w:tc>
              <w:tc>
                <w:tcPr>
                  <w:tcW w:w="432" w:type="pct"/>
                </w:tcPr>
                <w:p>
                  <w:pPr>
                    <w:jc w:val="center"/>
                    <w:rPr>
                      <w:rFonts w:ascii="宋体" w:hAnsi="宋体"/>
                      <w:b/>
                      <w:bCs/>
                      <w:sz w:val="28"/>
                      <w:szCs w:val="28"/>
                    </w:rPr>
                  </w:pPr>
                </w:p>
              </w:tc>
            </w:tr>
          </w:tbl>
          <w:p>
            <w:pPr>
              <w:pStyle w:val="2"/>
              <w:rPr>
                <w:rFonts w:ascii="宋体" w:hAnsi="宋体" w:cs="Times New Roman"/>
                <w:bCs/>
                <w:szCs w:val="21"/>
              </w:rPr>
            </w:pPr>
          </w:p>
        </w:tc>
      </w:tr>
    </w:tbl>
    <w:p>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3"/>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1D2"/>
    <w:rsid w:val="000B3E00"/>
    <w:rsid w:val="000E118C"/>
    <w:rsid w:val="000F3493"/>
    <w:rsid w:val="000F377A"/>
    <w:rsid w:val="00103689"/>
    <w:rsid w:val="00135F11"/>
    <w:rsid w:val="001566CD"/>
    <w:rsid w:val="00166B32"/>
    <w:rsid w:val="0019345B"/>
    <w:rsid w:val="001A28A4"/>
    <w:rsid w:val="001A7D5A"/>
    <w:rsid w:val="001E36A5"/>
    <w:rsid w:val="001F7730"/>
    <w:rsid w:val="0021257C"/>
    <w:rsid w:val="00222178"/>
    <w:rsid w:val="00256F2D"/>
    <w:rsid w:val="002B19DC"/>
    <w:rsid w:val="002D700E"/>
    <w:rsid w:val="002E59E5"/>
    <w:rsid w:val="002F4F4E"/>
    <w:rsid w:val="002F5F1F"/>
    <w:rsid w:val="00313C2B"/>
    <w:rsid w:val="00336BC3"/>
    <w:rsid w:val="0035676C"/>
    <w:rsid w:val="00363029"/>
    <w:rsid w:val="00453147"/>
    <w:rsid w:val="004670D8"/>
    <w:rsid w:val="00475E86"/>
    <w:rsid w:val="00477491"/>
    <w:rsid w:val="00484798"/>
    <w:rsid w:val="004A704B"/>
    <w:rsid w:val="004A7CAB"/>
    <w:rsid w:val="004D0D8D"/>
    <w:rsid w:val="004E6A75"/>
    <w:rsid w:val="005108FB"/>
    <w:rsid w:val="00530A41"/>
    <w:rsid w:val="00544779"/>
    <w:rsid w:val="005507C7"/>
    <w:rsid w:val="005703E9"/>
    <w:rsid w:val="005E3255"/>
    <w:rsid w:val="00610B26"/>
    <w:rsid w:val="00617389"/>
    <w:rsid w:val="0063214C"/>
    <w:rsid w:val="00650AAA"/>
    <w:rsid w:val="00660014"/>
    <w:rsid w:val="0069647B"/>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22AA5"/>
    <w:rsid w:val="00943C96"/>
    <w:rsid w:val="00995CE3"/>
    <w:rsid w:val="009A1857"/>
    <w:rsid w:val="009A3EAB"/>
    <w:rsid w:val="009B5FF2"/>
    <w:rsid w:val="009C4B5D"/>
    <w:rsid w:val="00A01C8E"/>
    <w:rsid w:val="00A1792B"/>
    <w:rsid w:val="00A219DD"/>
    <w:rsid w:val="00AC7594"/>
    <w:rsid w:val="00AD7AF2"/>
    <w:rsid w:val="00AE2AE4"/>
    <w:rsid w:val="00AE765E"/>
    <w:rsid w:val="00AF578B"/>
    <w:rsid w:val="00B06E0B"/>
    <w:rsid w:val="00B6443D"/>
    <w:rsid w:val="00B844A6"/>
    <w:rsid w:val="00BA379C"/>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92CBD"/>
    <w:rsid w:val="00FA1E03"/>
    <w:rsid w:val="00FA4AFA"/>
    <w:rsid w:val="00FC7797"/>
    <w:rsid w:val="0318070B"/>
    <w:rsid w:val="0B442E2F"/>
    <w:rsid w:val="0B6049AB"/>
    <w:rsid w:val="0BD94507"/>
    <w:rsid w:val="0D99786A"/>
    <w:rsid w:val="16C85D59"/>
    <w:rsid w:val="17A46990"/>
    <w:rsid w:val="19E42288"/>
    <w:rsid w:val="1FE557B1"/>
    <w:rsid w:val="23F876D7"/>
    <w:rsid w:val="2B4622A2"/>
    <w:rsid w:val="30633696"/>
    <w:rsid w:val="381C31B2"/>
    <w:rsid w:val="476E7892"/>
    <w:rsid w:val="4AB52E66"/>
    <w:rsid w:val="4AE15976"/>
    <w:rsid w:val="4C2C50FF"/>
    <w:rsid w:val="4CD66756"/>
    <w:rsid w:val="4CE73E8E"/>
    <w:rsid w:val="4E243B34"/>
    <w:rsid w:val="536740E8"/>
    <w:rsid w:val="557F5B5D"/>
    <w:rsid w:val="572E33BF"/>
    <w:rsid w:val="5D8503F6"/>
    <w:rsid w:val="60BE4285"/>
    <w:rsid w:val="6F8101B4"/>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2"/>
    <w:basedOn w:val="1"/>
    <w:next w:val="1"/>
    <w:link w:val="16"/>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4">
    <w:name w:val="Normal Indent"/>
    <w:basedOn w:val="1"/>
    <w:link w:val="17"/>
    <w:qFormat/>
    <w:uiPriority w:val="0"/>
    <w:pPr>
      <w:ind w:firstLine="420"/>
    </w:pPr>
    <w:rPr>
      <w:rFonts w:ascii="Times New Roman" w:hAnsi="Times New Roman"/>
      <w:sz w:val="21"/>
      <w:szCs w:val="20"/>
    </w:rPr>
  </w:style>
  <w:style w:type="paragraph" w:styleId="5">
    <w:name w:val="Plain Text"/>
    <w:basedOn w:val="1"/>
    <w:link w:val="18"/>
    <w:qFormat/>
    <w:uiPriority w:val="0"/>
    <w:rPr>
      <w:rFonts w:ascii="宋体" w:hAnsi="Courier New" w:cs="Courier New"/>
      <w:sz w:val="21"/>
      <w:szCs w:val="21"/>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rFonts w:ascii="宋体" w:hAnsi="宋体" w:cs="宋体"/>
      <w:sz w:val="24"/>
    </w:rPr>
  </w:style>
  <w:style w:type="character" w:styleId="11">
    <w:name w:val="Strong"/>
    <w:qFormat/>
    <w:uiPriority w:val="0"/>
    <w:rPr>
      <w:b/>
      <w:bCs/>
    </w:rPr>
  </w:style>
  <w:style w:type="paragraph" w:styleId="12">
    <w:name w:val="List Paragraph"/>
    <w:basedOn w:val="1"/>
    <w:unhideWhenUsed/>
    <w:qFormat/>
    <w:uiPriority w:val="34"/>
    <w:pPr>
      <w:ind w:firstLine="420" w:firstLineChars="200"/>
    </w:pPr>
  </w:style>
  <w:style w:type="paragraph" w:customStyle="1" w:styleId="13">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7"/>
    <w:qFormat/>
    <w:uiPriority w:val="0"/>
    <w:rPr>
      <w:rFonts w:ascii="Calibri" w:hAnsi="Calibri" w:eastAsia="宋体" w:cs="Times New Roman"/>
      <w:kern w:val="2"/>
      <w:sz w:val="18"/>
      <w:szCs w:val="18"/>
    </w:rPr>
  </w:style>
  <w:style w:type="character" w:customStyle="1" w:styleId="15">
    <w:name w:val="页脚 字符"/>
    <w:link w:val="6"/>
    <w:qFormat/>
    <w:uiPriority w:val="0"/>
    <w:rPr>
      <w:rFonts w:ascii="Calibri" w:hAnsi="Calibri" w:eastAsia="宋体" w:cs="Times New Roman"/>
      <w:kern w:val="2"/>
      <w:sz w:val="18"/>
      <w:szCs w:val="18"/>
    </w:rPr>
  </w:style>
  <w:style w:type="character" w:customStyle="1" w:styleId="16">
    <w:name w:val="标题 2 字符"/>
    <w:link w:val="3"/>
    <w:qFormat/>
    <w:uiPriority w:val="0"/>
    <w:rPr>
      <w:rFonts w:ascii="Arial" w:hAnsi="Arial" w:eastAsia="华文楷体"/>
      <w:b/>
      <w:bCs/>
      <w:color w:val="800080"/>
      <w:sz w:val="28"/>
      <w:szCs w:val="32"/>
    </w:rPr>
  </w:style>
  <w:style w:type="character" w:customStyle="1" w:styleId="17">
    <w:name w:val="正文缩进 字符"/>
    <w:link w:val="4"/>
    <w:qFormat/>
    <w:uiPriority w:val="0"/>
    <w:rPr>
      <w:rFonts w:ascii="Times New Roman" w:hAnsi="Times New Roman"/>
      <w:kern w:val="2"/>
      <w:sz w:val="21"/>
    </w:rPr>
  </w:style>
  <w:style w:type="character" w:customStyle="1" w:styleId="18">
    <w:name w:val="纯文本 字符"/>
    <w:link w:val="5"/>
    <w:qFormat/>
    <w:uiPriority w:val="0"/>
    <w:rPr>
      <w:rFonts w:ascii="宋体" w:hAnsi="Courier New" w:cs="Courier New"/>
      <w:kern w:val="2"/>
      <w:sz w:val="21"/>
      <w:szCs w:val="21"/>
    </w:rPr>
  </w:style>
  <w:style w:type="character" w:customStyle="1" w:styleId="19">
    <w:name w:val="纯文本 字符1"/>
    <w:qFormat/>
    <w:uiPriority w:val="0"/>
    <w:rPr>
      <w:rFonts w:ascii="宋体" w:hAnsi="Courier New" w:eastAsia="宋体" w:cs="Courier New"/>
      <w:kern w:val="2"/>
      <w:sz w:val="32"/>
      <w:szCs w:val="24"/>
    </w:rPr>
  </w:style>
  <w:style w:type="paragraph" w:customStyle="1" w:styleId="20">
    <w:name w:val="列出段落2"/>
    <w:basedOn w:val="1"/>
    <w:qFormat/>
    <w:uiPriority w:val="34"/>
    <w:pPr>
      <w:ind w:firstLine="420" w:firstLineChars="200"/>
    </w:pPr>
    <w:rPr>
      <w:sz w:val="21"/>
      <w:szCs w:val="22"/>
    </w:rPr>
  </w:style>
  <w:style w:type="character" w:customStyle="1" w:styleId="21">
    <w:name w:val="NormalCharacter"/>
    <w:qFormat/>
    <w:uiPriority w:val="0"/>
    <w:rPr>
      <w:sz w:val="21"/>
      <w:lang w:val="en-US" w:eastAsia="zh-CN"/>
    </w:rPr>
  </w:style>
  <w:style w:type="paragraph" w:customStyle="1" w:styleId="22">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17F94-60C4-4DEB-9EB0-791ECA649B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580</Words>
  <Characters>3309</Characters>
  <Lines>27</Lines>
  <Paragraphs>7</Paragraphs>
  <TotalTime>71</TotalTime>
  <ScaleCrop>false</ScaleCrop>
  <LinksUpToDate>false</LinksUpToDate>
  <CharactersWithSpaces>3882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2023-10-30T06:41:15Z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40CAC312CB134546BDE6FBE68E8C96A8</vt:lpwstr>
  </property>
</Properties>
</file>