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宋体" w:hAnsi="宋体"/>
          <w:b/>
          <w:sz w:val="44"/>
          <w:szCs w:val="30"/>
        </w:rPr>
      </w:pPr>
      <w:r>
        <w:rPr>
          <w:rFonts w:hint="eastAsia" w:ascii="宋体" w:hAnsi="宋体"/>
          <w:b/>
          <w:sz w:val="44"/>
          <w:szCs w:val="30"/>
          <w:lang w:val="en-US" w:eastAsia="zh-CN"/>
        </w:rPr>
        <w:t>神经电信号检查设备联网系统项目</w:t>
      </w:r>
      <w:r>
        <w:rPr>
          <w:rFonts w:hint="eastAsia" w:ascii="宋体" w:hAnsi="宋体"/>
          <w:b/>
          <w:sz w:val="44"/>
          <w:szCs w:val="30"/>
        </w:rPr>
        <w:t>需求</w:t>
      </w:r>
    </w:p>
    <w:p>
      <w:pPr>
        <w:pStyle w:val="2"/>
        <w:numPr>
          <w:ilvl w:val="0"/>
          <w:numId w:val="3"/>
        </w:numPr>
        <w:rPr>
          <w:rFonts w:ascii="宋体" w:hAnsi="宋体"/>
        </w:rPr>
      </w:pPr>
      <w:r>
        <w:rPr>
          <w:rFonts w:hint="eastAsia" w:ascii="宋体" w:hAnsi="宋体"/>
        </w:rPr>
        <w:t>项目名称</w:t>
      </w:r>
    </w:p>
    <w:p>
      <w:pPr>
        <w:spacing w:line="360" w:lineRule="auto"/>
        <w:ind w:left="432"/>
        <w:rPr>
          <w:rFonts w:hint="default" w:ascii="宋体" w:hAnsi="宋体" w:eastAsia="宋体"/>
          <w:sz w:val="22"/>
          <w:lang w:val="en-US" w:eastAsia="zh-CN"/>
        </w:rPr>
      </w:pPr>
      <w:r>
        <w:rPr>
          <w:rFonts w:hint="eastAsia" w:ascii="宋体" w:hAnsi="宋体"/>
          <w:sz w:val="22"/>
        </w:rPr>
        <w:t>项目名称：</w:t>
      </w:r>
      <w:r>
        <w:rPr>
          <w:rFonts w:hint="eastAsia" w:ascii="宋体" w:hAnsi="宋体"/>
          <w:sz w:val="22"/>
          <w:lang w:val="en-US" w:eastAsia="zh-CN"/>
        </w:rPr>
        <w:t>神经电信号检查设备联网系统</w:t>
      </w:r>
    </w:p>
    <w:p>
      <w:pPr>
        <w:pStyle w:val="2"/>
        <w:numPr>
          <w:ilvl w:val="0"/>
          <w:numId w:val="3"/>
        </w:numPr>
        <w:rPr>
          <w:rFonts w:hint="eastAsia" w:ascii="宋体" w:hAnsi="宋体"/>
        </w:rPr>
      </w:pPr>
      <w:r>
        <w:rPr>
          <w:rFonts w:hint="eastAsia" w:ascii="宋体" w:hAnsi="宋体"/>
        </w:rPr>
        <w:t>采购清单（必填）</w:t>
      </w:r>
    </w:p>
    <w:p>
      <w:pPr>
        <w:rPr>
          <w:rFonts w:hint="eastAsia"/>
        </w:rPr>
      </w:pPr>
      <w:r>
        <w:rPr>
          <w:rFonts w:hint="eastAsia"/>
        </w:rPr>
        <w:t>采购设备及数量如下：</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3626"/>
        <w:gridCol w:w="3397"/>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04" w:type="dxa"/>
            <w:noWrap w:val="0"/>
            <w:vAlign w:val="top"/>
          </w:tcPr>
          <w:p>
            <w:r>
              <w:rPr>
                <w:rFonts w:hint="eastAsia"/>
              </w:rPr>
              <w:t>序号</w:t>
            </w:r>
          </w:p>
        </w:tc>
        <w:tc>
          <w:tcPr>
            <w:tcW w:w="3626" w:type="dxa"/>
            <w:noWrap w:val="0"/>
            <w:vAlign w:val="top"/>
          </w:tcPr>
          <w:p>
            <w:r>
              <w:rPr>
                <w:rFonts w:hint="eastAsia"/>
              </w:rPr>
              <w:t>名称</w:t>
            </w:r>
          </w:p>
        </w:tc>
        <w:tc>
          <w:tcPr>
            <w:tcW w:w="3397" w:type="dxa"/>
            <w:noWrap w:val="0"/>
            <w:vAlign w:val="top"/>
          </w:tcPr>
          <w:p>
            <w:r>
              <w:rPr>
                <w:rFonts w:hint="eastAsia"/>
              </w:rPr>
              <w:t xml:space="preserve">  配置描述</w:t>
            </w:r>
          </w:p>
        </w:tc>
        <w:tc>
          <w:tcPr>
            <w:tcW w:w="1559" w:type="dxa"/>
            <w:noWrap w:val="0"/>
            <w:vAlign w:val="top"/>
          </w:tcPr>
          <w:p>
            <w:r>
              <w:rPr>
                <w:rFonts w:hint="eastAsia"/>
                <w:lang w:val="en-US" w:eastAsia="zh-CN"/>
              </w:rPr>
              <w:t>工作站</w:t>
            </w:r>
            <w:r>
              <w:rPr>
                <w:rFonts w:hint="eastAsi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top"/>
          </w:tcPr>
          <w:p>
            <w:r>
              <w:t>1</w:t>
            </w:r>
          </w:p>
        </w:tc>
        <w:tc>
          <w:tcPr>
            <w:tcW w:w="3626" w:type="dxa"/>
            <w:noWrap w:val="0"/>
            <w:vAlign w:val="top"/>
          </w:tcPr>
          <w:p>
            <w:pPr>
              <w:rPr>
                <w:rFonts w:hint="default" w:eastAsia="宋体"/>
                <w:lang w:val="en-US" w:eastAsia="zh-CN"/>
              </w:rPr>
            </w:pPr>
            <w:r>
              <w:rPr>
                <w:rFonts w:hint="eastAsia"/>
                <w:lang w:val="en-US" w:eastAsia="zh-CN"/>
              </w:rPr>
              <w:t>神经电信号检查设备工作站联网系统</w:t>
            </w:r>
          </w:p>
        </w:tc>
        <w:tc>
          <w:tcPr>
            <w:tcW w:w="3397" w:type="dxa"/>
            <w:noWrap w:val="0"/>
            <w:vAlign w:val="top"/>
          </w:tcPr>
          <w:p>
            <w:pPr>
              <w:rPr>
                <w:rFonts w:hint="default" w:eastAsia="宋体"/>
                <w:lang w:val="en-US" w:eastAsia="zh-CN"/>
              </w:rPr>
            </w:pPr>
            <w:r>
              <w:rPr>
                <w:rStyle w:val="22"/>
                <w:rFonts w:hint="eastAsia" w:ascii="Times New Roman" w:hAnsi="Times New Roman" w:eastAsia="宋体" w:cs="Times New Roman"/>
              </w:rPr>
              <w:fldChar w:fldCharType="begin"/>
            </w:r>
            <w:r>
              <w:rPr>
                <w:rStyle w:val="22"/>
                <w:rFonts w:hint="eastAsia" w:ascii="Times New Roman" w:hAnsi="Times New Roman" w:eastAsia="宋体" w:cs="Times New Roman"/>
              </w:rPr>
              <w:instrText xml:space="preserve"> HYPERLINK  \l "_6.1.1、大数据服务器" </w:instrText>
            </w:r>
            <w:r>
              <w:rPr>
                <w:rStyle w:val="22"/>
                <w:rFonts w:hint="eastAsia" w:ascii="Times New Roman" w:hAnsi="Times New Roman" w:eastAsia="宋体" w:cs="Times New Roman"/>
              </w:rPr>
              <w:fldChar w:fldCharType="separate"/>
            </w:r>
            <w:r>
              <w:rPr>
                <w:rStyle w:val="22"/>
                <w:rFonts w:hint="eastAsia" w:ascii="Times New Roman" w:hAnsi="Times New Roman" w:eastAsia="宋体" w:cs="Times New Roman"/>
              </w:rPr>
              <w:t>配置详见31.1、</w:t>
            </w:r>
            <w:r>
              <w:rPr>
                <w:rStyle w:val="22"/>
                <w:rFonts w:hint="eastAsia" w:ascii="Times New Roman" w:hAnsi="Times New Roman" w:eastAsia="宋体" w:cs="Times New Roman"/>
                <w:lang w:val="en-US" w:eastAsia="zh-CN"/>
              </w:rPr>
              <w:t>具体</w:t>
            </w:r>
            <w:r>
              <w:rPr>
                <w:rStyle w:val="22"/>
                <w:rFonts w:hint="eastAsia" w:ascii="Times New Roman" w:hAnsi="Times New Roman" w:eastAsia="宋体" w:cs="Times New Roman"/>
              </w:rPr>
              <w:fldChar w:fldCharType="end"/>
            </w:r>
            <w:r>
              <w:rPr>
                <w:rStyle w:val="22"/>
                <w:rFonts w:hint="eastAsia" w:ascii="Times New Roman" w:hAnsi="Times New Roman" w:eastAsia="宋体" w:cs="Times New Roman"/>
                <w:lang w:val="en-US" w:eastAsia="zh-CN"/>
              </w:rPr>
              <w:t>参数要求</w:t>
            </w:r>
          </w:p>
        </w:tc>
        <w:tc>
          <w:tcPr>
            <w:tcW w:w="1559" w:type="dxa"/>
            <w:noWrap w:val="0"/>
            <w:vAlign w:val="center"/>
          </w:tcPr>
          <w:p>
            <w:pPr>
              <w:jc w:val="center"/>
              <w:rPr>
                <w:rFonts w:hint="default" w:eastAsia="宋体"/>
                <w:color w:val="000000"/>
                <w:sz w:val="24"/>
                <w:lang w:val="en-US" w:eastAsia="zh-CN"/>
              </w:rPr>
            </w:pPr>
            <w:r>
              <w:rPr>
                <w:rFonts w:hint="eastAsia" w:eastAsia="宋体"/>
                <w:color w:val="000000"/>
                <w:sz w:val="24"/>
                <w:lang w:val="en-US" w:eastAsia="zh-CN"/>
              </w:rPr>
              <w:t>30</w:t>
            </w:r>
          </w:p>
        </w:tc>
      </w:tr>
    </w:tbl>
    <w:p>
      <w:pPr>
        <w:pStyle w:val="47"/>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pPr>
        <w:pStyle w:val="47"/>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pPr>
        <w:pStyle w:val="47"/>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pPr>
        <w:pStyle w:val="47"/>
        <w:keepNext/>
        <w:keepLines/>
        <w:numPr>
          <w:ilvl w:val="1"/>
          <w:numId w:val="1"/>
        </w:numPr>
        <w:spacing w:before="340" w:after="330" w:line="578" w:lineRule="auto"/>
        <w:ind w:firstLineChars="0"/>
        <w:outlineLvl w:val="0"/>
        <w:rPr>
          <w:rFonts w:hint="eastAsia" w:ascii="宋体" w:hAnsi="宋体" w:eastAsia="宋体"/>
          <w:b/>
          <w:bCs/>
          <w:vanish/>
          <w:kern w:val="44"/>
          <w:sz w:val="44"/>
          <w:szCs w:val="44"/>
        </w:rPr>
      </w:pPr>
    </w:p>
    <w:p>
      <w:pPr>
        <w:pStyle w:val="2"/>
        <w:numPr>
          <w:ilvl w:val="0"/>
          <w:numId w:val="3"/>
        </w:numPr>
        <w:rPr>
          <w:rFonts w:ascii="宋体" w:hAnsi="宋体"/>
        </w:rPr>
      </w:pPr>
      <w:r>
        <w:rPr>
          <w:rFonts w:hint="eastAsia" w:ascii="宋体" w:hAnsi="宋体"/>
        </w:rPr>
        <w:t>详细配置参数（必填）</w:t>
      </w:r>
    </w:p>
    <w:p>
      <w:pPr>
        <w:pStyle w:val="3"/>
        <w:rPr>
          <w:rFonts w:hint="default" w:ascii="宋体" w:hAnsi="宋体" w:eastAsia="宋体"/>
          <w:sz w:val="24"/>
          <w:szCs w:val="24"/>
          <w:lang w:val="en-US" w:eastAsia="zh-CN"/>
        </w:rPr>
      </w:pPr>
      <w:bookmarkStart w:id="0" w:name="_6.1.1、大数据服务器"/>
      <w:bookmarkEnd w:id="0"/>
      <w:r>
        <w:rPr>
          <w:rFonts w:ascii="宋体" w:hAnsi="宋体" w:eastAsia="宋体"/>
          <w:sz w:val="24"/>
          <w:szCs w:val="24"/>
        </w:rPr>
        <w:t>3.1.1</w:t>
      </w:r>
      <w:r>
        <w:rPr>
          <w:rFonts w:hint="eastAsia" w:ascii="宋体" w:hAnsi="宋体" w:eastAsia="宋体"/>
          <w:sz w:val="24"/>
          <w:szCs w:val="24"/>
        </w:rPr>
        <w:t>、</w:t>
      </w:r>
      <w:r>
        <w:rPr>
          <w:rFonts w:hint="eastAsia" w:ascii="宋体" w:hAnsi="宋体" w:eastAsia="宋体"/>
          <w:sz w:val="24"/>
          <w:szCs w:val="24"/>
          <w:lang w:val="en-US" w:eastAsia="zh-CN"/>
        </w:rPr>
        <w:t>具体参数要求</w:t>
      </w:r>
    </w:p>
    <w:tbl>
      <w:tblPr>
        <w:tblStyle w:val="18"/>
        <w:tblW w:w="5000" w:type="pct"/>
        <w:tblInd w:w="0" w:type="dxa"/>
        <w:tblLayout w:type="autofit"/>
        <w:tblCellMar>
          <w:top w:w="0" w:type="dxa"/>
          <w:left w:w="108" w:type="dxa"/>
          <w:bottom w:w="0" w:type="dxa"/>
          <w:right w:w="108" w:type="dxa"/>
        </w:tblCellMar>
      </w:tblPr>
      <w:tblGrid>
        <w:gridCol w:w="647"/>
        <w:gridCol w:w="1135"/>
        <w:gridCol w:w="7504"/>
      </w:tblGrid>
      <w:tr>
        <w:tblPrEx>
          <w:tblCellMar>
            <w:top w:w="0" w:type="dxa"/>
            <w:left w:w="108" w:type="dxa"/>
            <w:bottom w:w="0" w:type="dxa"/>
            <w:right w:w="108" w:type="dxa"/>
          </w:tblCellMar>
        </w:tblPrEx>
        <w:trPr>
          <w:trHeight w:val="320"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61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指标项</w:t>
            </w:r>
          </w:p>
        </w:tc>
        <w:tc>
          <w:tcPr>
            <w:tcW w:w="403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320" w:hRule="atLeast"/>
        </w:trPr>
        <w:tc>
          <w:tcPr>
            <w:tcW w:w="348" w:type="pct"/>
            <w:tcBorders>
              <w:top w:val="nil"/>
              <w:left w:val="single" w:color="auto" w:sz="4" w:space="0"/>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11"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数据库服务模块</w:t>
            </w:r>
          </w:p>
        </w:tc>
        <w:tc>
          <w:tcPr>
            <w:tcW w:w="4039"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SQLserver、Oracle等大型数据库，有安全、可靠的数据存储、备份方案，有近线、离线数据调阅方案，实现数据的网络存储及应急状态的数据本地存储。具有开放性，支持异种数据库的访问，包括实现对文件数据和桌面数据库的访问、实现对大型异种数据库的访问、实现和高级语言互连的能力等，具有支持并行操作所需的技术，包括多服务器协同技术、事务处理的完整性控制技术。</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（2）服务器软件支持集群设计；支持数据库多种方式备份；支持数据库管理功能，支持数据记录查询与检索；按需更新数据库管理系统中的数据；接受医生申请，按权限提供所储存波形数据及相关信息。</w:t>
            </w:r>
          </w:p>
        </w:tc>
      </w:tr>
      <w:tr>
        <w:tblPrEx>
          <w:tblCellMar>
            <w:top w:w="0" w:type="dxa"/>
            <w:left w:w="108" w:type="dxa"/>
            <w:bottom w:w="0" w:type="dxa"/>
            <w:right w:w="108" w:type="dxa"/>
          </w:tblCellMar>
        </w:tblPrEx>
        <w:trPr>
          <w:trHeight w:val="320" w:hRule="atLeast"/>
        </w:trPr>
        <w:tc>
          <w:tcPr>
            <w:tcW w:w="348" w:type="pct"/>
            <w:tcBorders>
              <w:top w:val="nil"/>
              <w:left w:val="single" w:color="auto" w:sz="4" w:space="0"/>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611"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数据库存储管理器及典型收藏管理模块</w:t>
            </w:r>
          </w:p>
        </w:tc>
        <w:tc>
          <w:tcPr>
            <w:tcW w:w="4039"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（1）支持医院神经电信号检查设备数据进行报告单集中存储及管理。</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（2）产品适用于接收具有DICOM或XML传输协议的机器、具有数字输出的神经电信号检查设备的数据，对数据进行处理和存储，并可与医院信息管理系统进行整合，通过网络发布报告。</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（3）神经电信号检查设备报告信息管理功能：支持原有典型数据、原始图像提取技术，可使用专用报告工作站出报告，并实现神经电信号检查设备检查的流程化管理。</w:t>
            </w:r>
          </w:p>
        </w:tc>
      </w:tr>
      <w:tr>
        <w:tblPrEx>
          <w:tblCellMar>
            <w:top w:w="0" w:type="dxa"/>
            <w:left w:w="108" w:type="dxa"/>
            <w:bottom w:w="0" w:type="dxa"/>
            <w:right w:w="108" w:type="dxa"/>
          </w:tblCellMar>
        </w:tblPrEx>
        <w:trPr>
          <w:trHeight w:val="320" w:hRule="atLeast"/>
        </w:trPr>
        <w:tc>
          <w:tcPr>
            <w:tcW w:w="348" w:type="pct"/>
            <w:tcBorders>
              <w:top w:val="nil"/>
              <w:left w:val="single" w:color="auto" w:sz="4" w:space="0"/>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611"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DICOM服务模块</w:t>
            </w:r>
          </w:p>
        </w:tc>
        <w:tc>
          <w:tcPr>
            <w:tcW w:w="4039"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（1）支持神经电信号检查设备具备DICOM 格式、HL7-aECG 格式原始数据的显示，测量；</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（2）支持同符合HL7标准的医院信息系统连接</w:t>
            </w:r>
          </w:p>
        </w:tc>
      </w:tr>
      <w:tr>
        <w:tblPrEx>
          <w:tblCellMar>
            <w:top w:w="0" w:type="dxa"/>
            <w:left w:w="108" w:type="dxa"/>
            <w:bottom w:w="0" w:type="dxa"/>
            <w:right w:w="108" w:type="dxa"/>
          </w:tblCellMar>
        </w:tblPrEx>
        <w:trPr>
          <w:trHeight w:val="320" w:hRule="atLeast"/>
        </w:trPr>
        <w:tc>
          <w:tcPr>
            <w:tcW w:w="348" w:type="pct"/>
            <w:tcBorders>
              <w:top w:val="nil"/>
              <w:left w:val="single" w:color="auto" w:sz="4" w:space="0"/>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611" w:type="pct"/>
            <w:tcBorders>
              <w:top w:val="nil"/>
              <w:left w:val="nil"/>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系统集成</w:t>
            </w:r>
          </w:p>
        </w:tc>
        <w:tc>
          <w:tcPr>
            <w:tcW w:w="4039" w:type="pct"/>
            <w:tcBorders>
              <w:top w:val="nil"/>
              <w:left w:val="nil"/>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color w:val="auto"/>
                <w:lang w:val="en-US" w:eastAsia="zh-CN"/>
              </w:rPr>
              <w:t>与医院HIS、 EMR、CA、PACS、平台等系统集成</w:t>
            </w:r>
          </w:p>
        </w:tc>
      </w:tr>
      <w:tr>
        <w:tblPrEx>
          <w:tblCellMar>
            <w:top w:w="0" w:type="dxa"/>
            <w:left w:w="108" w:type="dxa"/>
            <w:bottom w:w="0" w:type="dxa"/>
            <w:right w:w="108" w:type="dxa"/>
          </w:tblCellMar>
        </w:tblPrEx>
        <w:trPr>
          <w:trHeight w:val="320" w:hRule="atLeast"/>
        </w:trPr>
        <w:tc>
          <w:tcPr>
            <w:tcW w:w="348" w:type="pct"/>
            <w:tcBorders>
              <w:top w:val="nil"/>
              <w:left w:val="single" w:color="auto" w:sz="4" w:space="0"/>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611"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临床WEB报告浏览模块</w:t>
            </w:r>
          </w:p>
        </w:tc>
        <w:tc>
          <w:tcPr>
            <w:tcW w:w="4039"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（1）支持嵌入门诊医生站、住院电子病历系统；</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（2）嵌入门诊医生站、住院电子病历系统中，当专业医生确认检查报告后，（3）在全院的医生工作站上就可以浏览到具有查看权限的结论报告；</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（4）支持报告打印；</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（5）当专业医生确认检查报告后，在医院的医生工作站上就可以浏览到具有查看权限的神经电信号检查设备检查结论及报告；</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（6）WEB浏览无需安装控件，可以查看数据，调整走纸和增益；</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（7）支持查看报告；</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（8）实现临床的报告查询与共享。</w:t>
            </w:r>
          </w:p>
        </w:tc>
      </w:tr>
      <w:tr>
        <w:tblPrEx>
          <w:tblCellMar>
            <w:top w:w="0" w:type="dxa"/>
            <w:left w:w="108" w:type="dxa"/>
            <w:bottom w:w="0" w:type="dxa"/>
            <w:right w:w="108" w:type="dxa"/>
          </w:tblCellMar>
        </w:tblPrEx>
        <w:trPr>
          <w:trHeight w:val="2584" w:hRule="atLeast"/>
        </w:trPr>
        <w:tc>
          <w:tcPr>
            <w:tcW w:w="348" w:type="pct"/>
            <w:tcBorders>
              <w:top w:val="nil"/>
              <w:left w:val="single" w:color="auto" w:sz="4" w:space="0"/>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611"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数据备份归档管理模块</w:t>
            </w:r>
          </w:p>
        </w:tc>
        <w:tc>
          <w:tcPr>
            <w:tcW w:w="4039"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（1）系统的设计、应用与数据使用应安全、可靠、准确、可信、可用、完整。系统与数据的安全应符合国家有关法律和规定。保护患者信息隐私。保障信息传输完整性、系统数据传输和存储的保密性。</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系统安全访问功能要求：应具有严格的身份认证和访问控制功能，杜绝因各种非法访问对系统的安全性造成严重的损坏。系统具有完备的信息安全保障体系，能对登录用户的身份进行认证，并跟踪用户的操作。</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（3）提供对存储的数据进行定期备份及归档管理，保障医疗数据存储的连续性及稳定性。</w:t>
            </w:r>
          </w:p>
        </w:tc>
      </w:tr>
      <w:tr>
        <w:tblPrEx>
          <w:tblCellMar>
            <w:top w:w="0" w:type="dxa"/>
            <w:left w:w="108" w:type="dxa"/>
            <w:bottom w:w="0" w:type="dxa"/>
            <w:right w:w="108" w:type="dxa"/>
          </w:tblCellMar>
        </w:tblPrEx>
        <w:trPr>
          <w:trHeight w:val="320" w:hRule="atLeast"/>
        </w:trPr>
        <w:tc>
          <w:tcPr>
            <w:tcW w:w="348" w:type="pct"/>
            <w:tcBorders>
              <w:top w:val="nil"/>
              <w:left w:val="single" w:color="auto" w:sz="4" w:space="0"/>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c>
          <w:tcPr>
            <w:tcW w:w="611" w:type="pct"/>
            <w:tcBorders>
              <w:top w:val="nil"/>
              <w:left w:val="nil"/>
              <w:bottom w:val="nil"/>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医生报告工作站</w:t>
            </w:r>
          </w:p>
        </w:tc>
        <w:tc>
          <w:tcPr>
            <w:tcW w:w="4039" w:type="pct"/>
            <w:tcBorders>
              <w:top w:val="nil"/>
              <w:left w:val="nil"/>
              <w:bottom w:val="nil"/>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接收神经电信号检查设备检查数据，集中分析处理编写报告，传送电子报告。</w:t>
            </w:r>
            <w:r>
              <w:rPr>
                <w:rFonts w:hint="eastAsia" w:ascii="Times New Roman" w:hAnsi="Times New Roman" w:eastAsia="宋体" w:cs="Times New Roman"/>
                <w:color w:val="0000FF"/>
                <w:lang w:val="en-US" w:eastAsia="zh-CN"/>
              </w:rPr>
              <w:t>报告审核分级别，符合电子病历评级要求。</w:t>
            </w:r>
          </w:p>
        </w:tc>
      </w:tr>
      <w:tr>
        <w:tblPrEx>
          <w:tblCellMar>
            <w:top w:w="0" w:type="dxa"/>
            <w:left w:w="108" w:type="dxa"/>
            <w:bottom w:w="0" w:type="dxa"/>
            <w:right w:w="108" w:type="dxa"/>
          </w:tblCellMar>
        </w:tblPrEx>
        <w:trPr>
          <w:trHeight w:val="320" w:hRule="atLeast"/>
        </w:trPr>
        <w:tc>
          <w:tcPr>
            <w:tcW w:w="348" w:type="pct"/>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c>
          <w:tcPr>
            <w:tcW w:w="611" w:type="pct"/>
            <w:tcBorders>
              <w:top w:val="nil"/>
              <w:left w:val="nil"/>
              <w:bottom w:val="single" w:color="auto" w:sz="4" w:space="0"/>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神经电信号检查设备连接</w:t>
            </w:r>
          </w:p>
        </w:tc>
        <w:tc>
          <w:tcPr>
            <w:tcW w:w="4039" w:type="pct"/>
            <w:tcBorders>
              <w:top w:val="nil"/>
              <w:left w:val="nil"/>
              <w:bottom w:val="single" w:color="auto" w:sz="4" w:space="0"/>
              <w:right w:val="single" w:color="auto" w:sz="4" w:space="0"/>
            </w:tcBorders>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（1）支持各类型神经电信号检查设备深度集成，包括睡眠监测、脑电图、肌电图、神经</w:t>
            </w:r>
            <w:bookmarkStart w:id="2" w:name="_GoBack"/>
            <w:bookmarkEnd w:id="2"/>
            <w:r>
              <w:rPr>
                <w:rFonts w:hint="eastAsia" w:ascii="Times New Roman" w:hAnsi="Times New Roman" w:eastAsia="宋体" w:cs="Times New Roman"/>
                <w:lang w:val="en-US" w:eastAsia="zh-CN"/>
              </w:rPr>
              <w:t>电生理检查等。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（2）针对神经电信号检查设备的报告系统，提供了PDF的解析功能，根据用户的需求，自动获取有用的数据，进行归档、自动生成神经电信号检查设备</w:t>
            </w:r>
            <w:r>
              <w:rPr>
                <w:rFonts w:hint="eastAsia" w:cs="Times New Roman"/>
                <w:lang w:val="en-US" w:eastAsia="zh-CN"/>
              </w:rPr>
              <w:t>检查</w:t>
            </w:r>
            <w:r>
              <w:rPr>
                <w:rFonts w:hint="eastAsia" w:ascii="Times New Roman" w:hAnsi="Times New Roman" w:eastAsia="宋体" w:cs="Times New Roman"/>
                <w:lang w:val="en-US" w:eastAsia="zh-CN"/>
              </w:rPr>
              <w:t>报告，并把该报告在院内共享。</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（3）实现对神经电信号检查设备检查报告的获取、参数提取，临床医生根据实际需要，重新定义报告格式，并且实现对</w:t>
            </w:r>
            <w:r>
              <w:rPr>
                <w:rFonts w:hint="eastAsia" w:cs="Times New Roman"/>
                <w:lang w:val="en-US" w:eastAsia="zh-CN"/>
              </w:rPr>
              <w:t>报告</w:t>
            </w:r>
            <w:r>
              <w:rPr>
                <w:rFonts w:hint="eastAsia" w:ascii="Times New Roman" w:hAnsi="Times New Roman" w:eastAsia="宋体" w:cs="Times New Roman"/>
                <w:lang w:val="en-US" w:eastAsia="zh-CN"/>
              </w:rPr>
              <w:t>参数的统计分析，通过和EMR的接口，实现报告的共享。</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（4）数据解析与提取：对获取的电子文档进行OCR处理（BMP或JPG文档）或对PDF文字内容提取，并对提取的信息进行分析</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数据归档和管理：对获取的数据归档后，在科室内实现数字化管理，在院内实现共享</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（5）科室多台神经电信号检查设备工作站，通过患者信息注入程序，自动获取患者基本信息，通过HIS平台的对接，不需要医生单独编辑患者的基本信息进行手工的入。</w:t>
            </w:r>
          </w:p>
        </w:tc>
      </w:tr>
    </w:tbl>
    <w:p>
      <w:pPr>
        <w:pStyle w:val="2"/>
        <w:numPr>
          <w:ilvl w:val="0"/>
          <w:numId w:val="3"/>
        </w:numPr>
        <w:rPr>
          <w:rFonts w:ascii="宋体" w:hAnsi="宋体"/>
        </w:rPr>
      </w:pPr>
      <w:bookmarkStart w:id="1" w:name="_6.1.2、容器服务器"/>
      <w:bookmarkEnd w:id="1"/>
      <w:r>
        <w:rPr>
          <w:rFonts w:hint="eastAsia" w:ascii="宋体" w:hAnsi="宋体"/>
        </w:rPr>
        <w:t>项目工期及实施要求（必填）</w:t>
      </w:r>
    </w:p>
    <w:p>
      <w:pPr>
        <w:spacing w:line="48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合同签订后</w:t>
      </w:r>
      <w:r>
        <w:rPr>
          <w:rFonts w:hint="eastAsia" w:ascii="宋体" w:hAnsi="宋体"/>
          <w:sz w:val="24"/>
          <w:szCs w:val="24"/>
          <w:lang w:val="en-US" w:eastAsia="zh-CN"/>
        </w:rPr>
        <w:t>6</w:t>
      </w:r>
      <w:r>
        <w:rPr>
          <w:rFonts w:hint="eastAsia" w:ascii="宋体" w:hAnsi="宋体"/>
          <w:sz w:val="24"/>
          <w:szCs w:val="24"/>
        </w:rPr>
        <w:t>0个工作日内完成供货、安装、开发、实施，并通过用户初验。</w:t>
      </w:r>
    </w:p>
    <w:p>
      <w:pPr>
        <w:spacing w:line="480" w:lineRule="auto"/>
        <w:ind w:firstLine="480" w:firstLineChars="200"/>
        <w:rPr>
          <w:rFonts w:hint="eastAsia" w:ascii="宋体" w:hAnsi="宋体"/>
          <w:sz w:val="24"/>
          <w:szCs w:val="24"/>
        </w:rPr>
      </w:pPr>
      <w:r>
        <w:rPr>
          <w:rFonts w:hint="eastAsia" w:ascii="宋体" w:hAnsi="宋体"/>
          <w:sz w:val="24"/>
          <w:szCs w:val="24"/>
        </w:rPr>
        <w:t>2、安装地点：广东省人民医院采购人指定地点。</w:t>
      </w:r>
    </w:p>
    <w:p>
      <w:pPr>
        <w:spacing w:line="48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3、实施要求：完成广东省人民医院指定神经电信号检查设备接入</w:t>
      </w:r>
    </w:p>
    <w:p/>
    <w:p>
      <w:pPr>
        <w:pStyle w:val="2"/>
        <w:numPr>
          <w:ilvl w:val="0"/>
          <w:numId w:val="3"/>
        </w:numPr>
        <w:rPr>
          <w:rFonts w:hint="eastAsia" w:ascii="宋体" w:hAnsi="宋体"/>
          <w:lang w:eastAsia="zh-CN"/>
        </w:rPr>
      </w:pPr>
      <w:r>
        <w:rPr>
          <w:rFonts w:hint="eastAsia" w:ascii="宋体" w:hAnsi="宋体"/>
          <w:lang w:eastAsia="zh-CN"/>
        </w:rPr>
        <w:t>集成技术及实施</w:t>
      </w:r>
      <w:r>
        <w:rPr>
          <w:rFonts w:ascii="宋体" w:hAnsi="宋体"/>
        </w:rPr>
        <w:t>服务要求</w:t>
      </w:r>
    </w:p>
    <w:p>
      <w:pPr>
        <w:spacing w:line="48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系统具有多种接口方式，包括HL7、主动数据接口、被动数据接口、中间表、共享数据库。根据医院实际情况可灵活选择接口类型。支持与医院HIS系统、心电信息系统、体检网络、电子病历等医院网络实现的双向通讯，共享患者信息，为医院网络中各信息系统提供需要的神经电信号检查设备报告数据。</w:t>
      </w:r>
    </w:p>
    <w:p>
      <w:pPr>
        <w:spacing w:line="48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所有的已经确认完成的神经电信号检查设备</w:t>
      </w:r>
      <w:r>
        <w:rPr>
          <w:rFonts w:hint="eastAsia" w:ascii="宋体" w:hAnsi="宋体" w:cs="Times New Roman"/>
          <w:sz w:val="24"/>
          <w:szCs w:val="24"/>
          <w:lang w:val="en-US" w:eastAsia="zh-CN"/>
        </w:rPr>
        <w:t>检查</w:t>
      </w:r>
      <w:r>
        <w:rPr>
          <w:rFonts w:hint="eastAsia" w:ascii="宋体" w:hAnsi="宋体" w:eastAsia="宋体" w:cs="Times New Roman"/>
          <w:sz w:val="24"/>
          <w:szCs w:val="24"/>
        </w:rPr>
        <w:t>报告，在HIS、心电信息系统、电子病历等系统中可以调阅。</w:t>
      </w:r>
    </w:p>
    <w:p>
      <w:pPr>
        <w:rPr>
          <w:rFonts w:hint="eastAsia"/>
          <w:lang w:eastAsia="zh-CN"/>
        </w:rPr>
      </w:pPr>
    </w:p>
    <w:p>
      <w:pPr>
        <w:pStyle w:val="2"/>
        <w:numPr>
          <w:ilvl w:val="0"/>
          <w:numId w:val="3"/>
        </w:numPr>
        <w:rPr>
          <w:rFonts w:hint="eastAsia" w:ascii="宋体" w:hAnsi="宋体"/>
          <w:lang w:eastAsia="zh-CN"/>
        </w:rPr>
      </w:pPr>
      <w:r>
        <w:rPr>
          <w:rFonts w:hint="eastAsia" w:ascii="宋体" w:hAnsi="宋体"/>
          <w:lang w:eastAsia="zh-CN"/>
        </w:rPr>
        <w:t>保修要求</w:t>
      </w:r>
    </w:p>
    <w:p>
      <w:pPr>
        <w:spacing w:line="48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投标人提供的所有产品须提供不低于24个月的售后服务（包括远程维护、电话指导、现场维护等），服务响应时间为全年7*24小时随时响应。工作期间（正常工作日8：00-18：00）要求驻场人员1人。</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3EBB3C91"/>
    <w:multiLevelType w:val="multilevel"/>
    <w:tmpl w:val="3EBB3C91"/>
    <w:lvl w:ilvl="0" w:tentative="0">
      <w:start w:val="1"/>
      <w:numFmt w:val="decimal"/>
      <w:pStyle w:val="56"/>
      <w:lvlText w:val="%1. "/>
      <w:lvlJc w:val="left"/>
      <w:pPr>
        <w:ind w:left="420" w:hanging="420"/>
      </w:pPr>
      <w:rPr>
        <w:rFonts w:hint="default" w:ascii="Times New Roman" w:hAnsi="Times New Roman" w:eastAsia="宋体"/>
        <w:b/>
        <w:i w:val="0"/>
      </w:rPr>
    </w:lvl>
    <w:lvl w:ilvl="1" w:tentative="0">
      <w:start w:val="1"/>
      <w:numFmt w:val="decimal"/>
      <w:pStyle w:val="49"/>
      <w:isLgl/>
      <w:suff w:val="space"/>
      <w:lvlText w:val="%1.%2 "/>
      <w:lvlJc w:val="left"/>
      <w:pPr>
        <w:ind w:left="3913" w:hanging="794"/>
      </w:pPr>
      <w:rPr>
        <w:rFonts w:hint="eastAsia"/>
      </w:rPr>
    </w:lvl>
    <w:lvl w:ilvl="2" w:tentative="0">
      <w:start w:val="1"/>
      <w:numFmt w:val="decimal"/>
      <w:pStyle w:val="55"/>
      <w:isLgl/>
      <w:suff w:val="space"/>
      <w:lvlText w:val="%1.%2.%3 "/>
      <w:lvlJc w:val="left"/>
      <w:pPr>
        <w:ind w:left="907" w:hanging="907"/>
      </w:pPr>
      <w:rPr>
        <w:rFonts w:hint="eastAsia"/>
      </w:rPr>
    </w:lvl>
    <w:lvl w:ilvl="3" w:tentative="0">
      <w:start w:val="1"/>
      <w:numFmt w:val="decimal"/>
      <w:pStyle w:val="54"/>
      <w:isLgl/>
      <w:suff w:val="space"/>
      <w:lvlText w:val="%1.%2.%3.%4 "/>
      <w:lvlJc w:val="left"/>
      <w:pPr>
        <w:ind w:left="1021" w:hanging="1021"/>
      </w:pPr>
      <w:rPr>
        <w:rFonts w:hint="eastAsia"/>
      </w:rPr>
    </w:lvl>
    <w:lvl w:ilvl="4" w:tentative="0">
      <w:start w:val="1"/>
      <w:numFmt w:val="decimal"/>
      <w:pStyle w:val="59"/>
      <w:isLgl/>
      <w:suff w:val="space"/>
      <w:lvlText w:val="%1.%2.%3.%4.%5 "/>
      <w:lvlJc w:val="left"/>
      <w:pPr>
        <w:ind w:left="1134" w:hanging="1134"/>
      </w:pPr>
      <w:rPr>
        <w:rFonts w:hint="eastAsia"/>
      </w:rPr>
    </w:lvl>
    <w:lvl w:ilvl="5" w:tentative="0">
      <w:start w:val="1"/>
      <w:numFmt w:val="decimal"/>
      <w:pStyle w:val="53"/>
      <w:isLgl/>
      <w:suff w:val="space"/>
      <w:lvlText w:val="%1.%2.%3.%4.%5.%6 "/>
      <w:lvlJc w:val="left"/>
      <w:pPr>
        <w:ind w:left="1247" w:hanging="1247"/>
      </w:pPr>
      <w:rPr>
        <w:rFonts w:hint="eastAsia"/>
      </w:rPr>
    </w:lvl>
    <w:lvl w:ilvl="6" w:tentative="0">
      <w:start w:val="1"/>
      <w:numFmt w:val="decimal"/>
      <w:lvlRestart w:val="1"/>
      <w:pStyle w:val="48"/>
      <w:isLgl/>
      <w:suff w:val="space"/>
      <w:lvlText w:val="图 %1.%7 "/>
      <w:lvlJc w:val="left"/>
      <w:pPr>
        <w:ind w:left="0" w:firstLine="0"/>
      </w:pPr>
      <w:rPr>
        <w:rFonts w:hint="eastAsia"/>
      </w:rPr>
    </w:lvl>
    <w:lvl w:ilvl="7" w:tentative="0">
      <w:start w:val="1"/>
      <w:numFmt w:val="decimal"/>
      <w:lvlRestart w:val="1"/>
      <w:pStyle w:val="5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24A4138"/>
    <w:multiLevelType w:val="multilevel"/>
    <w:tmpl w:val="424A4138"/>
    <w:lvl w:ilvl="0" w:tentative="0">
      <w:start w:val="1"/>
      <w:numFmt w:val="chineseCountingThousand"/>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ZWQ4ZDMyMDU2MTY4ZmY4YjFhYjNkNzYxMTI0OWEifQ=="/>
  </w:docVars>
  <w:rsids>
    <w:rsidRoot w:val="00303343"/>
    <w:rsid w:val="000051D2"/>
    <w:rsid w:val="000079DD"/>
    <w:rsid w:val="00012DCC"/>
    <w:rsid w:val="00016B63"/>
    <w:rsid w:val="0004334E"/>
    <w:rsid w:val="00046B39"/>
    <w:rsid w:val="00054706"/>
    <w:rsid w:val="00066DE7"/>
    <w:rsid w:val="00074EDD"/>
    <w:rsid w:val="00086AE0"/>
    <w:rsid w:val="00090A18"/>
    <w:rsid w:val="000B41B7"/>
    <w:rsid w:val="000D5317"/>
    <w:rsid w:val="000E276C"/>
    <w:rsid w:val="00106D68"/>
    <w:rsid w:val="001106CE"/>
    <w:rsid w:val="001107F8"/>
    <w:rsid w:val="001116F6"/>
    <w:rsid w:val="00121E40"/>
    <w:rsid w:val="0012322D"/>
    <w:rsid w:val="00123FCC"/>
    <w:rsid w:val="00135BF9"/>
    <w:rsid w:val="001365DD"/>
    <w:rsid w:val="00136606"/>
    <w:rsid w:val="00140E0C"/>
    <w:rsid w:val="0014437A"/>
    <w:rsid w:val="00153AB3"/>
    <w:rsid w:val="00162D29"/>
    <w:rsid w:val="00164878"/>
    <w:rsid w:val="00165091"/>
    <w:rsid w:val="00171903"/>
    <w:rsid w:val="0018200C"/>
    <w:rsid w:val="001833B6"/>
    <w:rsid w:val="00190CD2"/>
    <w:rsid w:val="001A22A1"/>
    <w:rsid w:val="001B4850"/>
    <w:rsid w:val="001B7966"/>
    <w:rsid w:val="001B7D79"/>
    <w:rsid w:val="001C23B3"/>
    <w:rsid w:val="001C7BC6"/>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A5A"/>
    <w:rsid w:val="00322973"/>
    <w:rsid w:val="003325F0"/>
    <w:rsid w:val="00341038"/>
    <w:rsid w:val="00352E7C"/>
    <w:rsid w:val="00353276"/>
    <w:rsid w:val="00366980"/>
    <w:rsid w:val="003802E2"/>
    <w:rsid w:val="00385E95"/>
    <w:rsid w:val="00385FED"/>
    <w:rsid w:val="00397B7E"/>
    <w:rsid w:val="003A7269"/>
    <w:rsid w:val="003C0FB7"/>
    <w:rsid w:val="003C6D81"/>
    <w:rsid w:val="003D0F80"/>
    <w:rsid w:val="003D2595"/>
    <w:rsid w:val="003E7083"/>
    <w:rsid w:val="003F629F"/>
    <w:rsid w:val="00403938"/>
    <w:rsid w:val="00413DA3"/>
    <w:rsid w:val="00414171"/>
    <w:rsid w:val="0041787F"/>
    <w:rsid w:val="00423450"/>
    <w:rsid w:val="0042702D"/>
    <w:rsid w:val="00435C81"/>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E7C53"/>
    <w:rsid w:val="005F0356"/>
    <w:rsid w:val="005F73BC"/>
    <w:rsid w:val="00600923"/>
    <w:rsid w:val="006053FC"/>
    <w:rsid w:val="00612F3F"/>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900232"/>
    <w:rsid w:val="00900BAA"/>
    <w:rsid w:val="00903734"/>
    <w:rsid w:val="00903878"/>
    <w:rsid w:val="00903CF6"/>
    <w:rsid w:val="009052C7"/>
    <w:rsid w:val="00905FFA"/>
    <w:rsid w:val="0092017A"/>
    <w:rsid w:val="00922032"/>
    <w:rsid w:val="00925C23"/>
    <w:rsid w:val="00927E08"/>
    <w:rsid w:val="009303FA"/>
    <w:rsid w:val="00943004"/>
    <w:rsid w:val="00966A88"/>
    <w:rsid w:val="00973A47"/>
    <w:rsid w:val="00981ED8"/>
    <w:rsid w:val="00982AA3"/>
    <w:rsid w:val="009863EF"/>
    <w:rsid w:val="00986A41"/>
    <w:rsid w:val="0098719A"/>
    <w:rsid w:val="00991FF2"/>
    <w:rsid w:val="0099315B"/>
    <w:rsid w:val="00995DD9"/>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D3194"/>
    <w:rsid w:val="00BD5FA8"/>
    <w:rsid w:val="00BE23E5"/>
    <w:rsid w:val="00BE31E6"/>
    <w:rsid w:val="00BF757E"/>
    <w:rsid w:val="00BF7C0E"/>
    <w:rsid w:val="00BF7F5A"/>
    <w:rsid w:val="00C17719"/>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6EDC"/>
    <w:rsid w:val="00CE2D1F"/>
    <w:rsid w:val="00CF1561"/>
    <w:rsid w:val="00CF1A40"/>
    <w:rsid w:val="00CF36EF"/>
    <w:rsid w:val="00CF4AE2"/>
    <w:rsid w:val="00D1110F"/>
    <w:rsid w:val="00D15B10"/>
    <w:rsid w:val="00D23E20"/>
    <w:rsid w:val="00D32842"/>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47752"/>
    <w:rsid w:val="00E53030"/>
    <w:rsid w:val="00E56652"/>
    <w:rsid w:val="00E62C9E"/>
    <w:rsid w:val="00E63369"/>
    <w:rsid w:val="00E63569"/>
    <w:rsid w:val="00E80756"/>
    <w:rsid w:val="00E81F96"/>
    <w:rsid w:val="00E8302B"/>
    <w:rsid w:val="00E83E34"/>
    <w:rsid w:val="00E84F8C"/>
    <w:rsid w:val="00E85360"/>
    <w:rsid w:val="00E85641"/>
    <w:rsid w:val="00E85DA4"/>
    <w:rsid w:val="00E86B42"/>
    <w:rsid w:val="00E95892"/>
    <w:rsid w:val="00E97354"/>
    <w:rsid w:val="00EA6408"/>
    <w:rsid w:val="00EC0483"/>
    <w:rsid w:val="00ED0897"/>
    <w:rsid w:val="00ED73FF"/>
    <w:rsid w:val="00ED7F01"/>
    <w:rsid w:val="00EE51DE"/>
    <w:rsid w:val="00EF5E01"/>
    <w:rsid w:val="00EF6EC0"/>
    <w:rsid w:val="00F02058"/>
    <w:rsid w:val="00F0343C"/>
    <w:rsid w:val="00F04CE5"/>
    <w:rsid w:val="00F13514"/>
    <w:rsid w:val="00F1360F"/>
    <w:rsid w:val="00F16AA8"/>
    <w:rsid w:val="00F3226A"/>
    <w:rsid w:val="00F33DB0"/>
    <w:rsid w:val="00F45DB8"/>
    <w:rsid w:val="00F54D29"/>
    <w:rsid w:val="00F62BCD"/>
    <w:rsid w:val="00F74B77"/>
    <w:rsid w:val="00F764FE"/>
    <w:rsid w:val="00F827B6"/>
    <w:rsid w:val="00F92BE5"/>
    <w:rsid w:val="00FA0574"/>
    <w:rsid w:val="00FB68D3"/>
    <w:rsid w:val="00FC4B75"/>
    <w:rsid w:val="00FE7554"/>
    <w:rsid w:val="00FF17FE"/>
    <w:rsid w:val="01B446F6"/>
    <w:rsid w:val="07944DAE"/>
    <w:rsid w:val="089963F4"/>
    <w:rsid w:val="0C29164E"/>
    <w:rsid w:val="0DF406D8"/>
    <w:rsid w:val="164A4F1E"/>
    <w:rsid w:val="1A444EBD"/>
    <w:rsid w:val="2B8F2E69"/>
    <w:rsid w:val="34EB2F8E"/>
    <w:rsid w:val="3B5A356F"/>
    <w:rsid w:val="3D793B23"/>
    <w:rsid w:val="42200080"/>
    <w:rsid w:val="488C513A"/>
    <w:rsid w:val="4DF14536"/>
    <w:rsid w:val="52527FED"/>
    <w:rsid w:val="550E78C6"/>
    <w:rsid w:val="78412E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0"/>
      <w:szCs w:val="30"/>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rPr>
  </w:style>
  <w:style w:type="character" w:default="1" w:styleId="20">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rPr>
  </w:style>
  <w:style w:type="paragraph" w:styleId="12">
    <w:name w:val="annotation text"/>
    <w:basedOn w:val="1"/>
    <w:link w:val="34"/>
    <w:unhideWhenUsed/>
    <w:qFormat/>
    <w:uiPriority w:val="0"/>
    <w:pPr>
      <w:jc w:val="left"/>
    </w:pPr>
    <w:rPr>
      <w:kern w:val="0"/>
      <w:sz w:val="20"/>
    </w:rPr>
  </w:style>
  <w:style w:type="paragraph" w:styleId="13">
    <w:name w:val="Plain Text"/>
    <w:basedOn w:val="1"/>
    <w:link w:val="35"/>
    <w:uiPriority w:val="0"/>
    <w:rPr>
      <w:rFonts w:ascii="Calibri" w:hAnsi="Courier New"/>
      <w:szCs w:val="20"/>
    </w:rPr>
  </w:style>
  <w:style w:type="paragraph" w:styleId="14">
    <w:name w:val="Balloon Text"/>
    <w:basedOn w:val="1"/>
    <w:link w:val="36"/>
    <w:uiPriority w:val="0"/>
    <w:rPr>
      <w:sz w:val="18"/>
      <w:szCs w:val="18"/>
    </w:rPr>
  </w:style>
  <w:style w:type="paragraph" w:styleId="15">
    <w:name w:val="footer"/>
    <w:basedOn w:val="1"/>
    <w:link w:val="37"/>
    <w:uiPriority w:val="0"/>
    <w:pPr>
      <w:tabs>
        <w:tab w:val="center" w:pos="4153"/>
        <w:tab w:val="right" w:pos="8306"/>
      </w:tabs>
      <w:snapToGrid w:val="0"/>
      <w:jc w:val="left"/>
    </w:pPr>
    <w:rPr>
      <w:sz w:val="18"/>
      <w:szCs w:val="18"/>
    </w:rPr>
  </w:style>
  <w:style w:type="paragraph" w:styleId="16">
    <w:name w:val="header"/>
    <w:basedOn w:val="1"/>
    <w:link w:val="38"/>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9">
    <w:name w:val="Table Grid"/>
    <w:basedOn w:val="1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FollowedHyperlink"/>
    <w:uiPriority w:val="0"/>
    <w:rPr>
      <w:color w:val="800080"/>
      <w:u w:val="single"/>
    </w:rPr>
  </w:style>
  <w:style w:type="character" w:styleId="22">
    <w:name w:val="Hyperlink"/>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uiPriority w:val="0"/>
    <w:rPr>
      <w:b/>
      <w:bCs/>
      <w:kern w:val="44"/>
      <w:sz w:val="44"/>
      <w:szCs w:val="44"/>
    </w:rPr>
  </w:style>
  <w:style w:type="character" w:customStyle="1" w:styleId="25">
    <w:name w:val="标题 2 Char"/>
    <w:link w:val="3"/>
    <w:uiPriority w:val="0"/>
    <w:rPr>
      <w:rFonts w:ascii="等线 Light" w:hAnsi="等线 Light" w:eastAsia="等线 Light" w:cs="Times New Roman"/>
      <w:b/>
      <w:bCs/>
      <w:kern w:val="2"/>
      <w:sz w:val="32"/>
      <w:szCs w:val="32"/>
    </w:rPr>
  </w:style>
  <w:style w:type="character" w:customStyle="1" w:styleId="26">
    <w:name w:val="标题 3 Char"/>
    <w:link w:val="4"/>
    <w:uiPriority w:val="0"/>
    <w:rPr>
      <w:b/>
      <w:bCs/>
      <w:kern w:val="2"/>
      <w:sz w:val="30"/>
      <w:szCs w:val="30"/>
    </w:rPr>
  </w:style>
  <w:style w:type="character" w:customStyle="1" w:styleId="27">
    <w:name w:val="标题 4 Char"/>
    <w:link w:val="5"/>
    <w:uiPriority w:val="0"/>
    <w:rPr>
      <w:rFonts w:ascii="宋体" w:hAnsi="宋体"/>
      <w:b/>
      <w:bCs/>
      <w:kern w:val="2"/>
      <w:sz w:val="28"/>
      <w:szCs w:val="28"/>
    </w:rPr>
  </w:style>
  <w:style w:type="character" w:customStyle="1" w:styleId="28">
    <w:name w:val="标题 5 Char"/>
    <w:link w:val="6"/>
    <w:uiPriority w:val="0"/>
    <w:rPr>
      <w:b/>
      <w:bCs/>
      <w:kern w:val="2"/>
      <w:sz w:val="28"/>
      <w:szCs w:val="28"/>
    </w:rPr>
  </w:style>
  <w:style w:type="character" w:customStyle="1" w:styleId="29">
    <w:name w:val="标题 6 Char"/>
    <w:link w:val="7"/>
    <w:semiHidden/>
    <w:uiPriority w:val="0"/>
    <w:rPr>
      <w:rFonts w:ascii="等线 Light" w:hAnsi="等线 Light" w:eastAsia="等线 Light"/>
      <w:b/>
      <w:bCs/>
      <w:kern w:val="2"/>
      <w:sz w:val="24"/>
      <w:szCs w:val="24"/>
    </w:rPr>
  </w:style>
  <w:style w:type="character" w:customStyle="1" w:styleId="30">
    <w:name w:val="标题 7 Char"/>
    <w:link w:val="8"/>
    <w:semiHidden/>
    <w:uiPriority w:val="0"/>
    <w:rPr>
      <w:b/>
      <w:bCs/>
      <w:kern w:val="2"/>
      <w:sz w:val="24"/>
      <w:szCs w:val="24"/>
    </w:rPr>
  </w:style>
  <w:style w:type="character" w:customStyle="1" w:styleId="31">
    <w:name w:val="标题 8 Char"/>
    <w:link w:val="9"/>
    <w:semiHidden/>
    <w:uiPriority w:val="0"/>
    <w:rPr>
      <w:rFonts w:ascii="等线 Light" w:hAnsi="等线 Light" w:eastAsia="等线 Light"/>
      <w:kern w:val="2"/>
      <w:sz w:val="24"/>
      <w:szCs w:val="24"/>
    </w:rPr>
  </w:style>
  <w:style w:type="character" w:customStyle="1" w:styleId="32">
    <w:name w:val="标题 9 Char"/>
    <w:link w:val="10"/>
    <w:semiHidden/>
    <w:uiPriority w:val="0"/>
    <w:rPr>
      <w:rFonts w:ascii="等线 Light" w:hAnsi="等线 Light" w:eastAsia="等线 Light"/>
      <w:kern w:val="2"/>
      <w:sz w:val="21"/>
      <w:szCs w:val="21"/>
    </w:rPr>
  </w:style>
  <w:style w:type="character" w:customStyle="1" w:styleId="33">
    <w:name w:val="正文缩进 Char"/>
    <w:link w:val="11"/>
    <w:qFormat/>
    <w:uiPriority w:val="99"/>
    <w:rPr>
      <w:spacing w:val="8"/>
      <w:kern w:val="2"/>
      <w:sz w:val="24"/>
    </w:rPr>
  </w:style>
  <w:style w:type="character" w:customStyle="1" w:styleId="34">
    <w:name w:val="批注文字 Char"/>
    <w:link w:val="12"/>
    <w:uiPriority w:val="0"/>
    <w:rPr>
      <w:szCs w:val="24"/>
    </w:rPr>
  </w:style>
  <w:style w:type="character" w:customStyle="1" w:styleId="35">
    <w:name w:val="纯文本 Char"/>
    <w:link w:val="13"/>
    <w:uiPriority w:val="0"/>
    <w:rPr>
      <w:rFonts w:ascii="Calibri" w:hAnsi="Courier New"/>
      <w:kern w:val="2"/>
      <w:sz w:val="21"/>
    </w:rPr>
  </w:style>
  <w:style w:type="character" w:customStyle="1" w:styleId="36">
    <w:name w:val="批注框文本 Char"/>
    <w:link w:val="14"/>
    <w:uiPriority w:val="0"/>
    <w:rPr>
      <w:kern w:val="2"/>
      <w:sz w:val="18"/>
      <w:szCs w:val="18"/>
    </w:rPr>
  </w:style>
  <w:style w:type="character" w:customStyle="1" w:styleId="37">
    <w:name w:val="页脚 Char"/>
    <w:link w:val="15"/>
    <w:uiPriority w:val="0"/>
    <w:rPr>
      <w:kern w:val="2"/>
      <w:sz w:val="18"/>
      <w:szCs w:val="18"/>
    </w:rPr>
  </w:style>
  <w:style w:type="character" w:customStyle="1" w:styleId="38">
    <w:name w:val="页眉 Char"/>
    <w:link w:val="16"/>
    <w:uiPriority w:val="0"/>
    <w:rPr>
      <w:kern w:val="2"/>
      <w:sz w:val="18"/>
      <w:szCs w:val="18"/>
    </w:rPr>
  </w:style>
  <w:style w:type="character" w:customStyle="1" w:styleId="39">
    <w:name w:val="正文（首行缩进2字符） Char"/>
    <w:link w:val="40"/>
    <w:uiPriority w:val="0"/>
    <w:rPr>
      <w:kern w:val="2"/>
      <w:sz w:val="24"/>
      <w:szCs w:val="24"/>
    </w:rPr>
  </w:style>
  <w:style w:type="paragraph" w:customStyle="1" w:styleId="40">
    <w:name w:val="正文（首行缩进2字符）"/>
    <w:basedOn w:val="1"/>
    <w:link w:val="39"/>
    <w:qFormat/>
    <w:uiPriority w:val="0"/>
    <w:pPr>
      <w:spacing w:line="360" w:lineRule="auto"/>
      <w:ind w:firstLine="480" w:firstLineChars="200"/>
    </w:pPr>
    <w:rPr>
      <w:sz w:val="24"/>
    </w:rPr>
  </w:style>
  <w:style w:type="character" w:customStyle="1" w:styleId="41">
    <w:name w:val="段落 Char1"/>
    <w:link w:val="42"/>
    <w:uiPriority w:val="0"/>
    <w:rPr>
      <w:rFonts w:eastAsia="仿宋_GB2312"/>
      <w:sz w:val="24"/>
      <w:szCs w:val="24"/>
      <w:lang w:val="en-US" w:eastAsia="zh-CN" w:bidi="ar-SA"/>
    </w:rPr>
  </w:style>
  <w:style w:type="paragraph" w:customStyle="1" w:styleId="42">
    <w:name w:val="段落"/>
    <w:link w:val="41"/>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3">
    <w:name w:val="正文（安华金和） Char"/>
    <w:link w:val="44"/>
    <w:qFormat/>
    <w:uiPriority w:val="0"/>
    <w:rPr>
      <w:rFonts w:ascii="Arial" w:hAnsi="Arial"/>
      <w:sz w:val="21"/>
      <w:szCs w:val="21"/>
      <w:lang w:val="en-US" w:eastAsia="zh-CN" w:bidi="ar-SA"/>
    </w:rPr>
  </w:style>
  <w:style w:type="paragraph" w:customStyle="1" w:styleId="44">
    <w:name w:val="正文（安华金和）"/>
    <w:link w:val="43"/>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5">
    <w:name w:val="页脚 字符"/>
    <w:uiPriority w:val="99"/>
  </w:style>
  <w:style w:type="character" w:customStyle="1" w:styleId="46">
    <w:name w:val="列出段落 Char"/>
    <w:link w:val="47"/>
    <w:qFormat/>
    <w:uiPriority w:val="34"/>
    <w:rPr>
      <w:rFonts w:ascii="等线" w:hAnsi="等线" w:eastAsia="等线"/>
      <w:kern w:val="2"/>
      <w:sz w:val="21"/>
      <w:szCs w:val="22"/>
    </w:rPr>
  </w:style>
  <w:style w:type="paragraph" w:styleId="47">
    <w:name w:val="List Paragraph"/>
    <w:basedOn w:val="1"/>
    <w:link w:val="46"/>
    <w:qFormat/>
    <w:uiPriority w:val="34"/>
    <w:pPr>
      <w:ind w:firstLine="420" w:firstLineChars="200"/>
    </w:pPr>
    <w:rPr>
      <w:rFonts w:ascii="等线" w:hAnsi="等线" w:eastAsia="等线"/>
      <w:szCs w:val="22"/>
    </w:rPr>
  </w:style>
  <w:style w:type="paragraph" w:customStyle="1" w:styleId="48">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49">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1">
    <w:name w:val="_Style 27"/>
    <w:basedOn w:val="1"/>
    <w:next w:val="47"/>
    <w:qFormat/>
    <w:uiPriority w:val="34"/>
    <w:pPr>
      <w:widowControl/>
      <w:spacing w:line="240" w:lineRule="atLeast"/>
      <w:ind w:firstLine="420" w:firstLineChars="200"/>
    </w:pPr>
    <w:rPr>
      <w:rFonts w:ascii="Arial" w:hAnsi="Arial"/>
      <w:kern w:val="0"/>
      <w:szCs w:val="21"/>
    </w:rPr>
  </w:style>
  <w:style w:type="paragraph" w:customStyle="1" w:styleId="52">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3">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4">
    <w:name w:val="标题 4（DBSec）"/>
    <w:basedOn w:val="5"/>
    <w:next w:val="1"/>
    <w:qFormat/>
    <w:uiPriority w:val="0"/>
    <w:pPr>
      <w:widowControl/>
      <w:numPr>
        <w:ilvl w:val="3"/>
        <w:numId w:val="2"/>
      </w:numPr>
      <w:spacing w:after="156"/>
      <w:ind w:leftChars="200"/>
      <w:jc w:val="left"/>
    </w:pPr>
    <w:rPr>
      <w:rFonts w:ascii="Arial" w:hAnsi="Arial" w:eastAsia="黑体"/>
      <w:bCs w:val="0"/>
      <w:kern w:val="0"/>
    </w:rPr>
  </w:style>
  <w:style w:type="paragraph" w:customStyle="1" w:styleId="55">
    <w:name w:val="标题 3（DBSec）"/>
    <w:basedOn w:val="4"/>
    <w:next w:val="1"/>
    <w:qFormat/>
    <w:uiPriority w:val="0"/>
    <w:pPr>
      <w:numPr>
        <w:ilvl w:val="2"/>
        <w:numId w:val="2"/>
      </w:numPr>
      <w:tabs>
        <w:tab w:val="left" w:pos="960"/>
      </w:tabs>
      <w:spacing w:line="415" w:lineRule="auto"/>
      <w:ind w:leftChars="200"/>
      <w:jc w:val="left"/>
    </w:pPr>
    <w:rPr>
      <w:rFonts w:ascii="Arial" w:hAnsi="Arial" w:eastAsia="黑体"/>
      <w:bCs w:val="0"/>
      <w:kern w:val="0"/>
      <w:sz w:val="30"/>
      <w:szCs w:val="30"/>
    </w:rPr>
  </w:style>
  <w:style w:type="paragraph" w:customStyle="1" w:styleId="56">
    <w:name w:val="标题 1（DBSec）"/>
    <w:basedOn w:val="2"/>
    <w:next w:val="1"/>
    <w:qFormat/>
    <w:uiPriority w:val="0"/>
    <w:pPr>
      <w:pageBreakBefore/>
      <w:numPr>
        <w:ilvl w:val="0"/>
        <w:numId w:val="2"/>
      </w:numPr>
      <w:pBdr>
        <w:bottom w:val="single" w:color="auto" w:sz="48" w:space="1"/>
      </w:pBdr>
      <w:spacing w:before="600" w:line="576" w:lineRule="auto"/>
      <w:ind w:leftChars="200"/>
      <w:jc w:val="left"/>
    </w:pPr>
    <w:rPr>
      <w:rFonts w:ascii="Arial" w:hAnsi="Arial" w:eastAsia="黑体"/>
      <w:lang w:val="en-US" w:eastAsia="zh-CN"/>
    </w:rPr>
  </w:style>
  <w:style w:type="paragraph" w:customStyle="1" w:styleId="57">
    <w:name w:val="彩色列表 - 着色 11"/>
    <w:basedOn w:val="1"/>
    <w:qFormat/>
    <w:uiPriority w:val="34"/>
    <w:pPr>
      <w:spacing w:line="360" w:lineRule="auto"/>
      <w:ind w:firstLine="420" w:firstLineChars="200"/>
    </w:pPr>
    <w:rPr>
      <w:rFonts w:ascii="Arial" w:hAnsi="Arial"/>
      <w:szCs w:val="21"/>
    </w:rPr>
  </w:style>
  <w:style w:type="paragraph" w:customStyle="1" w:styleId="58">
    <w:name w:val="表格标注（安华金和）"/>
    <w:basedOn w:val="48"/>
    <w:next w:val="1"/>
    <w:qFormat/>
    <w:uiPriority w:val="0"/>
    <w:pPr>
      <w:numPr>
        <w:ilvl w:val="7"/>
        <w:numId w:val="2"/>
      </w:numPr>
    </w:pPr>
  </w:style>
  <w:style w:type="paragraph" w:customStyle="1" w:styleId="59">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0">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1">
    <w:name w:val="批注文字 字符"/>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1925</Words>
  <Characters>2011</Characters>
  <Lines>1</Lines>
  <Paragraphs>1</Paragraphs>
  <TotalTime>42</TotalTime>
  <ScaleCrop>false</ScaleCrop>
  <LinksUpToDate>false</LinksUpToDate>
  <CharactersWithSpaces>2016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2021-04-20T03:05:00Z</dcterms:created>
  <dc:creator>陈永辉</dc:creator>
  <cp:lastModifiedBy>赵杰</cp:lastModifiedBy>
  <dcterms:modified xsi:type="dcterms:W3CDTF">2024-05-22T06:14:53Z</dcterms:modified>
  <dc:title>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C024F81806624691A84BC06DD47A88A8_13</vt:lpwstr>
  </property>
</Properties>
</file>