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spacing w:line="276" w:lineRule="auto"/>
        <w:jc w:val="center"/>
        <w:rPr>
          <w:rFonts w:ascii="宋体" w:hAnsi="宋体" w:eastAsia="宋体"/>
          <w:b/>
          <w:bCs/>
          <w:color w:val="000000" w:themeColor="text1"/>
          <w:sz w:val="44"/>
          <w:szCs w:val="44"/>
        </w:rPr>
      </w:pPr>
      <w:r>
        <w:rPr>
          <w:rFonts w:hint="eastAsia" w:ascii="宋体" w:hAnsi="宋体" w:eastAsia="宋体"/>
          <w:b/>
          <w:bCs/>
          <w:color w:val="000000" w:themeColor="text1"/>
          <w:sz w:val="44"/>
          <w:szCs w:val="44"/>
        </w:rPr>
        <w:t>广东省人民医院放射科护理智能管理系统</w:t>
      </w:r>
    </w:p>
    <w:p>
      <w:pPr>
        <w:pStyle w:val="53"/>
        <w:spacing w:line="276" w:lineRule="auto"/>
        <w:jc w:val="center"/>
        <w:rPr>
          <w:rFonts w:hint="eastAsia" w:ascii="宋体" w:hAnsi="宋体" w:eastAsia="宋体"/>
          <w:b/>
          <w:bCs/>
          <w:color w:val="000000" w:themeColor="text1"/>
          <w:sz w:val="44"/>
          <w:szCs w:val="44"/>
        </w:rPr>
      </w:pPr>
      <w:r>
        <w:rPr>
          <w:rFonts w:hint="eastAsia" w:ascii="宋体" w:hAnsi="宋体" w:eastAsia="宋体"/>
          <w:b/>
          <w:bCs/>
          <w:color w:val="000000" w:themeColor="text1"/>
          <w:sz w:val="44"/>
          <w:szCs w:val="44"/>
        </w:rPr>
        <w:t>合作研发服务项目需求</w:t>
      </w:r>
    </w:p>
    <w:p>
      <w:pPr>
        <w:spacing w:line="360" w:lineRule="auto"/>
        <w:ind w:firstLine="480" w:firstLineChars="200"/>
        <w:rPr>
          <w:rFonts w:ascii="宋体" w:hAnsi="宋体" w:cs="宋体"/>
          <w:kern w:val="0"/>
          <w:sz w:val="24"/>
        </w:rPr>
      </w:pPr>
      <w:r>
        <w:rPr>
          <w:rFonts w:hint="eastAsia" w:ascii="宋体" w:hAnsi="宋体" w:cs="宋体"/>
          <w:kern w:val="0"/>
          <w:sz w:val="24"/>
        </w:rPr>
        <w:t>本次院内</w:t>
      </w:r>
      <w:r>
        <w:rPr>
          <w:rFonts w:ascii="宋体" w:hAnsi="宋体" w:cs="宋体"/>
          <w:kern w:val="0"/>
          <w:sz w:val="24"/>
        </w:rPr>
        <w:t>议价</w:t>
      </w:r>
      <w:r>
        <w:rPr>
          <w:rFonts w:hint="eastAsia" w:ascii="宋体" w:hAnsi="宋体" w:cs="宋体"/>
          <w:kern w:val="0"/>
          <w:sz w:val="24"/>
        </w:rPr>
        <w:t>采购限价：90万元，无论是否单项限价，请各应标商按照采购清单分项报价，采购清单如下：</w:t>
      </w:r>
    </w:p>
    <w:p>
      <w:pPr>
        <w:pStyle w:val="74"/>
        <w:numPr>
          <w:ilvl w:val="0"/>
          <w:numId w:val="2"/>
        </w:numPr>
        <w:spacing w:line="276" w:lineRule="auto"/>
        <w:rPr>
          <w:rFonts w:hint="eastAsia" w:ascii="宋体" w:hAnsi="宋体"/>
          <w:b/>
          <w:bCs/>
          <w:kern w:val="44"/>
          <w:sz w:val="32"/>
          <w:szCs w:val="32"/>
        </w:rPr>
      </w:pPr>
      <w:r>
        <w:rPr>
          <w:rFonts w:hint="eastAsia" w:ascii="宋体" w:hAnsi="宋体"/>
          <w:b/>
          <w:bCs/>
          <w:kern w:val="44"/>
          <w:sz w:val="32"/>
          <w:szCs w:val="32"/>
        </w:rPr>
        <w:t xml:space="preserve">采购清单 </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8"/>
        <w:gridCol w:w="4493"/>
        <w:gridCol w:w="3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8" w:type="dxa"/>
          </w:tcPr>
          <w:p>
            <w:pPr>
              <w:jc w:val="center"/>
            </w:pPr>
            <w:r>
              <w:rPr>
                <w:rFonts w:hint="eastAsia"/>
              </w:rPr>
              <w:t>序号</w:t>
            </w:r>
          </w:p>
        </w:tc>
        <w:tc>
          <w:tcPr>
            <w:tcW w:w="4493" w:type="dxa"/>
          </w:tcPr>
          <w:p>
            <w:pPr>
              <w:jc w:val="center"/>
              <w:rPr>
                <w:rFonts w:hint="default" w:eastAsia="宋体"/>
                <w:lang w:val="en-US" w:eastAsia="zh-CN"/>
              </w:rPr>
            </w:pPr>
            <w:r>
              <w:rPr>
                <w:rFonts w:hint="eastAsia"/>
                <w:lang w:val="en-US" w:eastAsia="zh-CN"/>
              </w:rPr>
              <w:t>项目名称</w:t>
            </w:r>
          </w:p>
        </w:tc>
        <w:tc>
          <w:tcPr>
            <w:tcW w:w="3371" w:type="dxa"/>
          </w:tcPr>
          <w:p>
            <w:pPr>
              <w:jc w:val="center"/>
            </w:pPr>
            <w:r>
              <w:rPr>
                <w:rFonts w:hint="eastAsia"/>
              </w:rPr>
              <w:t>功能模块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8" w:type="dxa"/>
          </w:tcPr>
          <w:p>
            <w:pPr>
              <w:jc w:val="center"/>
            </w:pPr>
            <w:r>
              <w:t>1</w:t>
            </w:r>
          </w:p>
        </w:tc>
        <w:tc>
          <w:tcPr>
            <w:tcW w:w="4493" w:type="dxa"/>
          </w:tcPr>
          <w:p>
            <w:r>
              <w:rPr>
                <w:rFonts w:hint="eastAsia" w:ascii="宋体" w:hAnsi="宋体"/>
                <w:bCs/>
                <w:color w:val="000000" w:themeColor="text1"/>
                <w:sz w:val="24"/>
              </w:rPr>
              <w:t>放射科护理智能管理系统合作研发服务</w:t>
            </w:r>
          </w:p>
        </w:tc>
        <w:tc>
          <w:tcPr>
            <w:tcW w:w="3371" w:type="dxa"/>
          </w:tcPr>
          <w:p>
            <w:pPr>
              <w:rPr>
                <w:rFonts w:ascii="宋体" w:hAnsi="宋体" w:cs="Arial"/>
                <w:szCs w:val="21"/>
              </w:rPr>
            </w:pPr>
            <w:r>
              <w:fldChar w:fldCharType="begin"/>
            </w:r>
            <w:r>
              <w:instrText xml:space="preserve"> HYPERLINK \l "_康复临床科研一体化平台" </w:instrText>
            </w:r>
            <w:r>
              <w:fldChar w:fldCharType="separate"/>
            </w:r>
            <w:r>
              <w:rPr>
                <w:rStyle w:val="25"/>
                <w:rFonts w:ascii="宋体" w:hAnsi="宋体" w:cs="Arial"/>
                <w:szCs w:val="21"/>
              </w:rPr>
              <w:t>配置详见</w:t>
            </w:r>
            <w:r>
              <w:rPr>
                <w:rStyle w:val="25"/>
                <w:rFonts w:hint="eastAsia" w:ascii="宋体" w:hAnsi="宋体" w:cs="Arial"/>
                <w:szCs w:val="21"/>
              </w:rPr>
              <w:t>二.系统功能清单</w:t>
            </w:r>
            <w:r>
              <w:rPr>
                <w:rStyle w:val="25"/>
                <w:rFonts w:hint="eastAsia" w:ascii="宋体" w:hAnsi="宋体" w:cs="Arial"/>
                <w:szCs w:val="21"/>
              </w:rPr>
              <w:fldChar w:fldCharType="end"/>
            </w:r>
          </w:p>
        </w:tc>
      </w:tr>
    </w:tbl>
    <w:p>
      <w:pPr>
        <w:pStyle w:val="53"/>
        <w:spacing w:line="276" w:lineRule="auto"/>
        <w:jc w:val="center"/>
        <w:rPr>
          <w:rFonts w:hint="eastAsia" w:ascii="宋体" w:hAnsi="宋体" w:eastAsia="宋体"/>
          <w:b/>
          <w:bCs/>
          <w:color w:val="000000" w:themeColor="text1"/>
          <w:sz w:val="44"/>
          <w:szCs w:val="44"/>
        </w:rPr>
      </w:pPr>
    </w:p>
    <w:p>
      <w:pPr>
        <w:pStyle w:val="74"/>
        <w:numPr>
          <w:ilvl w:val="0"/>
          <w:numId w:val="2"/>
        </w:numPr>
        <w:spacing w:line="276" w:lineRule="auto"/>
        <w:rPr>
          <w:rFonts w:ascii="宋体" w:hAnsi="宋体"/>
          <w:b/>
          <w:bCs/>
          <w:kern w:val="44"/>
          <w:sz w:val="32"/>
          <w:szCs w:val="32"/>
        </w:rPr>
      </w:pPr>
      <w:bookmarkStart w:id="3" w:name="_GoBack"/>
      <w:bookmarkEnd w:id="3"/>
      <w:r>
        <w:rPr>
          <w:rFonts w:hint="eastAsia" w:ascii="宋体" w:hAnsi="宋体"/>
          <w:b/>
          <w:bCs/>
          <w:kern w:val="44"/>
          <w:sz w:val="32"/>
          <w:szCs w:val="32"/>
        </w:rPr>
        <w:t>系统功能清单</w:t>
      </w:r>
    </w:p>
    <w:p>
      <w:pPr>
        <w:pStyle w:val="74"/>
        <w:spacing w:line="276" w:lineRule="auto"/>
        <w:ind w:left="432"/>
        <w:rPr>
          <w:rFonts w:ascii="宋体" w:hAnsi="宋体"/>
          <w:color w:val="000000" w:themeColor="text1"/>
          <w:sz w:val="24"/>
        </w:rPr>
      </w:pPr>
      <w:r>
        <w:rPr>
          <w:rFonts w:hint="eastAsia" w:ascii="宋体" w:hAnsi="宋体"/>
          <w:color w:val="000000" w:themeColor="text1"/>
          <w:sz w:val="24"/>
        </w:rPr>
        <w:t>系统功能清单如下：</w:t>
      </w:r>
    </w:p>
    <w:tbl>
      <w:tblPr>
        <w:tblStyle w:val="20"/>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4820"/>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709" w:type="dxa"/>
            <w:vAlign w:val="center"/>
          </w:tcPr>
          <w:p>
            <w:pPr>
              <w:spacing w:line="276" w:lineRule="auto"/>
              <w:jc w:val="center"/>
              <w:rPr>
                <w:rFonts w:ascii="宋体" w:hAnsi="宋体"/>
                <w:b/>
                <w:color w:val="000000" w:themeColor="text1"/>
                <w:sz w:val="24"/>
              </w:rPr>
            </w:pPr>
            <w:r>
              <w:rPr>
                <w:rFonts w:hint="eastAsia" w:ascii="宋体" w:hAnsi="宋体"/>
                <w:b/>
                <w:color w:val="000000" w:themeColor="text1"/>
                <w:sz w:val="24"/>
              </w:rPr>
              <w:t>序号</w:t>
            </w:r>
          </w:p>
        </w:tc>
        <w:tc>
          <w:tcPr>
            <w:tcW w:w="4820" w:type="dxa"/>
            <w:vAlign w:val="center"/>
          </w:tcPr>
          <w:p>
            <w:pPr>
              <w:spacing w:line="276" w:lineRule="auto"/>
              <w:jc w:val="center"/>
              <w:rPr>
                <w:rFonts w:ascii="宋体" w:hAnsi="宋体"/>
                <w:b/>
                <w:color w:val="000000" w:themeColor="text1"/>
                <w:sz w:val="24"/>
              </w:rPr>
            </w:pPr>
            <w:r>
              <w:rPr>
                <w:rFonts w:hint="eastAsia" w:ascii="宋体" w:hAnsi="宋体"/>
                <w:b/>
                <w:color w:val="000000" w:themeColor="text1"/>
                <w:sz w:val="24"/>
              </w:rPr>
              <w:t>模块名称</w:t>
            </w:r>
          </w:p>
        </w:tc>
        <w:tc>
          <w:tcPr>
            <w:tcW w:w="3543" w:type="dxa"/>
            <w:vAlign w:val="center"/>
          </w:tcPr>
          <w:p>
            <w:pPr>
              <w:spacing w:line="276" w:lineRule="auto"/>
              <w:jc w:val="center"/>
              <w:rPr>
                <w:rFonts w:ascii="宋体" w:hAnsi="宋体"/>
                <w:b/>
                <w:color w:val="000000" w:themeColor="text1"/>
                <w:sz w:val="24"/>
              </w:rPr>
            </w:pPr>
            <w:r>
              <w:rPr>
                <w:rFonts w:hint="eastAsia" w:ascii="宋体" w:hAnsi="宋体"/>
                <w:b/>
                <w:color w:val="000000" w:themeColor="text1"/>
                <w:sz w:val="24"/>
              </w:rPr>
              <w:t>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after="0" w:line="276" w:lineRule="auto"/>
              <w:jc w:val="center"/>
              <w:rPr>
                <w:rFonts w:ascii="宋体" w:hAnsi="宋体"/>
                <w:color w:val="000000" w:themeColor="text1"/>
                <w:sz w:val="24"/>
              </w:rPr>
            </w:pPr>
            <w:r>
              <w:rPr>
                <w:rFonts w:ascii="宋体" w:hAnsi="宋体"/>
                <w:color w:val="000000" w:themeColor="text1"/>
                <w:sz w:val="24"/>
              </w:rPr>
              <w:t>1</w:t>
            </w:r>
          </w:p>
        </w:tc>
        <w:tc>
          <w:tcPr>
            <w:tcW w:w="4820" w:type="dxa"/>
            <w:vAlign w:val="center"/>
          </w:tcPr>
          <w:p>
            <w:pPr>
              <w:spacing w:after="0" w:line="276" w:lineRule="auto"/>
              <w:jc w:val="left"/>
              <w:rPr>
                <w:rFonts w:ascii="宋体" w:hAnsi="宋体"/>
                <w:color w:val="000000" w:themeColor="text1"/>
                <w:sz w:val="24"/>
              </w:rPr>
            </w:pPr>
            <w:r>
              <w:rPr>
                <w:rFonts w:hint="eastAsia" w:ascii="宋体" w:hAnsi="宋体"/>
                <w:color w:val="000000" w:themeColor="text1"/>
                <w:sz w:val="24"/>
              </w:rPr>
              <w:t>影像检查患者候检信息发布模块</w:t>
            </w:r>
          </w:p>
        </w:tc>
        <w:tc>
          <w:tcPr>
            <w:tcW w:w="3543" w:type="dxa"/>
            <w:vAlign w:val="center"/>
          </w:tcPr>
          <w:p>
            <w:pPr>
              <w:spacing w:after="0" w:line="276" w:lineRule="auto"/>
              <w:jc w:val="center"/>
              <w:rPr>
                <w:rFonts w:ascii="宋体" w:hAnsi="宋体"/>
                <w:color w:val="000000" w:themeColor="text1"/>
                <w:sz w:val="24"/>
              </w:rPr>
            </w:pPr>
            <w:r>
              <w:rPr>
                <w:rFonts w:hint="eastAsia" w:ascii="宋体" w:hAnsi="宋体"/>
                <w:color w:val="000000" w:themeColor="text1"/>
                <w:sz w:val="24"/>
              </w:rPr>
              <w:t>详见</w:t>
            </w:r>
            <w:r>
              <w:rPr>
                <w:rFonts w:hint="eastAsia" w:ascii="宋体" w:hAnsi="宋体"/>
                <w:color w:val="000000" w:themeColor="text1"/>
                <w:sz w:val="24"/>
                <w:u w:val="single"/>
              </w:rPr>
              <w:t>三</w:t>
            </w:r>
            <w:r>
              <w:rPr>
                <w:rFonts w:ascii="宋体" w:hAnsi="宋体"/>
                <w:color w:val="000000" w:themeColor="text1"/>
                <w:sz w:val="24"/>
                <w:u w:val="single"/>
              </w:rPr>
              <w:t>.详细功能描述</w:t>
            </w:r>
            <w:r>
              <w:rPr>
                <w:rFonts w:hint="eastAsia" w:ascii="宋体" w:hAnsi="宋体"/>
                <w:color w:val="000000" w:themeColor="text1"/>
                <w:sz w:val="24"/>
              </w:rPr>
              <w:t>第</w:t>
            </w:r>
            <w:r>
              <w:rPr>
                <w:rFonts w:ascii="宋体" w:hAnsi="宋体"/>
                <w:color w:val="000000" w:themeColor="text1"/>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after="0" w:line="276" w:lineRule="auto"/>
              <w:jc w:val="center"/>
              <w:rPr>
                <w:rFonts w:ascii="宋体" w:hAnsi="宋体"/>
                <w:color w:val="000000" w:themeColor="text1"/>
                <w:sz w:val="24"/>
              </w:rPr>
            </w:pPr>
            <w:r>
              <w:rPr>
                <w:rFonts w:ascii="宋体" w:hAnsi="宋体"/>
                <w:color w:val="000000" w:themeColor="text1"/>
                <w:sz w:val="24"/>
              </w:rPr>
              <w:t>2</w:t>
            </w:r>
          </w:p>
        </w:tc>
        <w:tc>
          <w:tcPr>
            <w:tcW w:w="4820" w:type="dxa"/>
            <w:vAlign w:val="center"/>
          </w:tcPr>
          <w:p>
            <w:pPr>
              <w:spacing w:after="0" w:line="276" w:lineRule="auto"/>
              <w:jc w:val="left"/>
              <w:rPr>
                <w:rFonts w:ascii="宋体" w:hAnsi="宋体"/>
                <w:color w:val="000000" w:themeColor="text1"/>
                <w:sz w:val="24"/>
              </w:rPr>
            </w:pPr>
            <w:r>
              <w:rPr>
                <w:rFonts w:hint="eastAsia" w:ascii="宋体" w:hAnsi="宋体"/>
                <w:color w:val="000000" w:themeColor="text1"/>
                <w:sz w:val="24"/>
              </w:rPr>
              <w:t>影像检查患者宣教模块</w:t>
            </w:r>
          </w:p>
        </w:tc>
        <w:tc>
          <w:tcPr>
            <w:tcW w:w="3543" w:type="dxa"/>
            <w:vAlign w:val="center"/>
          </w:tcPr>
          <w:p>
            <w:pPr>
              <w:spacing w:after="0" w:line="276" w:lineRule="auto"/>
              <w:jc w:val="center"/>
              <w:rPr>
                <w:rFonts w:ascii="宋体" w:hAnsi="宋体"/>
                <w:color w:val="000000" w:themeColor="text1"/>
                <w:sz w:val="24"/>
              </w:rPr>
            </w:pPr>
            <w:r>
              <w:rPr>
                <w:rFonts w:hint="eastAsia" w:ascii="宋体" w:hAnsi="宋体"/>
                <w:color w:val="000000" w:themeColor="text1"/>
                <w:sz w:val="24"/>
              </w:rPr>
              <w:t>详见</w:t>
            </w:r>
            <w:r>
              <w:rPr>
                <w:rFonts w:hint="eastAsia" w:ascii="宋体" w:hAnsi="宋体"/>
                <w:color w:val="000000" w:themeColor="text1"/>
                <w:sz w:val="24"/>
                <w:u w:val="single"/>
              </w:rPr>
              <w:t>三</w:t>
            </w:r>
            <w:r>
              <w:rPr>
                <w:rFonts w:ascii="宋体" w:hAnsi="宋体"/>
                <w:color w:val="000000" w:themeColor="text1"/>
                <w:sz w:val="24"/>
                <w:u w:val="single"/>
              </w:rPr>
              <w:t>.详细功能描述</w:t>
            </w:r>
            <w:r>
              <w:rPr>
                <w:rFonts w:hint="eastAsia" w:ascii="宋体" w:hAnsi="宋体"/>
                <w:color w:val="000000" w:themeColor="text1"/>
                <w:sz w:val="24"/>
              </w:rPr>
              <w:t>第</w:t>
            </w:r>
            <w:r>
              <w:rPr>
                <w:rFonts w:ascii="宋体" w:hAnsi="宋体"/>
                <w:color w:val="000000" w:themeColor="text1"/>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after="0" w:line="276" w:lineRule="auto"/>
              <w:jc w:val="center"/>
              <w:rPr>
                <w:rFonts w:ascii="宋体" w:hAnsi="宋体"/>
                <w:color w:val="000000" w:themeColor="text1"/>
                <w:sz w:val="24"/>
              </w:rPr>
            </w:pPr>
            <w:r>
              <w:rPr>
                <w:rFonts w:ascii="宋体" w:hAnsi="宋体"/>
                <w:color w:val="000000" w:themeColor="text1"/>
                <w:sz w:val="24"/>
              </w:rPr>
              <w:t>3</w:t>
            </w:r>
          </w:p>
        </w:tc>
        <w:tc>
          <w:tcPr>
            <w:tcW w:w="4820" w:type="dxa"/>
            <w:vAlign w:val="center"/>
          </w:tcPr>
          <w:p>
            <w:pPr>
              <w:spacing w:after="0" w:line="276" w:lineRule="auto"/>
              <w:jc w:val="left"/>
              <w:rPr>
                <w:rFonts w:ascii="宋体" w:hAnsi="宋体"/>
                <w:color w:val="000000" w:themeColor="text1"/>
                <w:sz w:val="24"/>
              </w:rPr>
            </w:pPr>
            <w:r>
              <w:rPr>
                <w:rFonts w:hint="eastAsia" w:ascii="宋体" w:hAnsi="宋体"/>
                <w:color w:val="000000" w:themeColor="text1"/>
                <w:sz w:val="24"/>
              </w:rPr>
              <w:t>影像检查患者指引信息发布与准备管理模块</w:t>
            </w:r>
          </w:p>
        </w:tc>
        <w:tc>
          <w:tcPr>
            <w:tcW w:w="3543" w:type="dxa"/>
            <w:vAlign w:val="center"/>
          </w:tcPr>
          <w:p>
            <w:pPr>
              <w:spacing w:after="0" w:line="276" w:lineRule="auto"/>
              <w:jc w:val="center"/>
              <w:rPr>
                <w:rFonts w:ascii="宋体" w:hAnsi="宋体"/>
                <w:color w:val="000000" w:themeColor="text1"/>
                <w:sz w:val="24"/>
              </w:rPr>
            </w:pPr>
            <w:r>
              <w:rPr>
                <w:rFonts w:hint="eastAsia" w:ascii="宋体" w:hAnsi="宋体"/>
                <w:color w:val="000000" w:themeColor="text1"/>
                <w:sz w:val="24"/>
              </w:rPr>
              <w:t>详见</w:t>
            </w:r>
            <w:r>
              <w:rPr>
                <w:rFonts w:hint="eastAsia" w:ascii="宋体" w:hAnsi="宋体"/>
                <w:color w:val="000000" w:themeColor="text1"/>
                <w:sz w:val="24"/>
                <w:u w:val="single"/>
              </w:rPr>
              <w:t>三</w:t>
            </w:r>
            <w:r>
              <w:rPr>
                <w:rFonts w:ascii="宋体" w:hAnsi="宋体"/>
                <w:color w:val="000000" w:themeColor="text1"/>
                <w:sz w:val="24"/>
                <w:u w:val="single"/>
              </w:rPr>
              <w:t>.详细功能描述</w:t>
            </w:r>
            <w:r>
              <w:rPr>
                <w:rFonts w:hint="eastAsia" w:ascii="宋体" w:hAnsi="宋体"/>
                <w:color w:val="000000" w:themeColor="text1"/>
                <w:sz w:val="24"/>
              </w:rPr>
              <w:t>第</w:t>
            </w:r>
            <w:r>
              <w:rPr>
                <w:rFonts w:ascii="宋体" w:hAnsi="宋体"/>
                <w:color w:val="000000" w:themeColor="text1"/>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after="0" w:line="276" w:lineRule="auto"/>
              <w:jc w:val="center"/>
              <w:rPr>
                <w:rFonts w:ascii="宋体" w:hAnsi="宋体"/>
                <w:color w:val="000000" w:themeColor="text1"/>
                <w:sz w:val="24"/>
              </w:rPr>
            </w:pPr>
            <w:r>
              <w:rPr>
                <w:rFonts w:ascii="宋体" w:hAnsi="宋体"/>
                <w:color w:val="000000" w:themeColor="text1"/>
                <w:sz w:val="24"/>
              </w:rPr>
              <w:t>4</w:t>
            </w:r>
          </w:p>
        </w:tc>
        <w:tc>
          <w:tcPr>
            <w:tcW w:w="4820" w:type="dxa"/>
            <w:vAlign w:val="center"/>
          </w:tcPr>
          <w:p>
            <w:pPr>
              <w:spacing w:after="0" w:line="276" w:lineRule="auto"/>
              <w:jc w:val="left"/>
              <w:rPr>
                <w:rFonts w:ascii="宋体" w:hAnsi="宋体"/>
                <w:color w:val="000000" w:themeColor="text1"/>
                <w:sz w:val="24"/>
              </w:rPr>
            </w:pPr>
            <w:r>
              <w:rPr>
                <w:rFonts w:hint="eastAsia" w:ascii="宋体" w:hAnsi="宋体"/>
                <w:color w:val="000000" w:themeColor="text1"/>
                <w:sz w:val="24"/>
              </w:rPr>
              <w:t>影像对比剂智能发放系统模块</w:t>
            </w:r>
          </w:p>
        </w:tc>
        <w:tc>
          <w:tcPr>
            <w:tcW w:w="3543" w:type="dxa"/>
            <w:vAlign w:val="center"/>
          </w:tcPr>
          <w:p>
            <w:pPr>
              <w:spacing w:after="0" w:line="276" w:lineRule="auto"/>
              <w:jc w:val="center"/>
              <w:rPr>
                <w:rFonts w:ascii="宋体" w:hAnsi="宋体"/>
                <w:color w:val="000000" w:themeColor="text1"/>
                <w:sz w:val="24"/>
              </w:rPr>
            </w:pPr>
            <w:r>
              <w:rPr>
                <w:rFonts w:hint="eastAsia" w:ascii="宋体" w:hAnsi="宋体"/>
                <w:color w:val="000000" w:themeColor="text1"/>
                <w:sz w:val="24"/>
              </w:rPr>
              <w:t>详见</w:t>
            </w:r>
            <w:r>
              <w:rPr>
                <w:rFonts w:hint="eastAsia" w:ascii="宋体" w:hAnsi="宋体"/>
                <w:color w:val="000000" w:themeColor="text1"/>
                <w:sz w:val="24"/>
                <w:u w:val="single"/>
              </w:rPr>
              <w:t>三</w:t>
            </w:r>
            <w:r>
              <w:rPr>
                <w:rFonts w:ascii="宋体" w:hAnsi="宋体"/>
                <w:color w:val="000000" w:themeColor="text1"/>
                <w:sz w:val="24"/>
                <w:u w:val="single"/>
              </w:rPr>
              <w:t>.详细功能描述</w:t>
            </w:r>
            <w:r>
              <w:rPr>
                <w:rFonts w:hint="eastAsia" w:ascii="宋体" w:hAnsi="宋体"/>
                <w:color w:val="000000" w:themeColor="text1"/>
                <w:sz w:val="24"/>
              </w:rPr>
              <w:t>第</w:t>
            </w:r>
            <w:r>
              <w:rPr>
                <w:rFonts w:ascii="宋体" w:hAnsi="宋体"/>
                <w:color w:val="000000" w:themeColor="text1"/>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after="0" w:line="276" w:lineRule="auto"/>
              <w:jc w:val="center"/>
              <w:rPr>
                <w:rFonts w:ascii="宋体" w:hAnsi="宋体"/>
                <w:color w:val="000000" w:themeColor="text1"/>
                <w:sz w:val="24"/>
              </w:rPr>
            </w:pPr>
            <w:r>
              <w:rPr>
                <w:rFonts w:ascii="宋体" w:hAnsi="宋体"/>
                <w:color w:val="000000" w:themeColor="text1"/>
                <w:sz w:val="24"/>
              </w:rPr>
              <w:t>5</w:t>
            </w:r>
          </w:p>
        </w:tc>
        <w:tc>
          <w:tcPr>
            <w:tcW w:w="4820" w:type="dxa"/>
            <w:vAlign w:val="center"/>
          </w:tcPr>
          <w:p>
            <w:pPr>
              <w:spacing w:after="0" w:line="276" w:lineRule="auto"/>
              <w:jc w:val="left"/>
              <w:rPr>
                <w:rFonts w:ascii="宋体" w:hAnsi="宋体"/>
                <w:color w:val="000000" w:themeColor="text1"/>
                <w:sz w:val="24"/>
              </w:rPr>
            </w:pPr>
            <w:r>
              <w:rPr>
                <w:rFonts w:hint="eastAsia" w:ascii="宋体" w:hAnsi="宋体"/>
                <w:color w:val="000000" w:themeColor="text1"/>
                <w:sz w:val="24"/>
              </w:rPr>
              <w:t>项目硬件与硬件合作研发</w:t>
            </w:r>
          </w:p>
        </w:tc>
        <w:tc>
          <w:tcPr>
            <w:tcW w:w="3543" w:type="dxa"/>
            <w:vAlign w:val="center"/>
          </w:tcPr>
          <w:p>
            <w:pPr>
              <w:spacing w:after="0" w:line="276" w:lineRule="auto"/>
              <w:jc w:val="center"/>
              <w:rPr>
                <w:rFonts w:ascii="宋体" w:hAnsi="宋体"/>
                <w:color w:val="000000" w:themeColor="text1"/>
                <w:sz w:val="24"/>
              </w:rPr>
            </w:pPr>
            <w:r>
              <w:rPr>
                <w:rFonts w:hint="eastAsia" w:ascii="宋体" w:hAnsi="宋体"/>
                <w:color w:val="000000" w:themeColor="text1"/>
                <w:sz w:val="24"/>
              </w:rPr>
              <w:t>详见</w:t>
            </w:r>
            <w:r>
              <w:rPr>
                <w:rFonts w:hint="eastAsia" w:ascii="宋体" w:hAnsi="宋体"/>
                <w:color w:val="000000" w:themeColor="text1"/>
                <w:sz w:val="24"/>
                <w:u w:val="single"/>
              </w:rPr>
              <w:t>三</w:t>
            </w:r>
            <w:r>
              <w:rPr>
                <w:rFonts w:ascii="宋体" w:hAnsi="宋体"/>
                <w:color w:val="000000" w:themeColor="text1"/>
                <w:sz w:val="24"/>
                <w:u w:val="single"/>
              </w:rPr>
              <w:t>.详细功能描述</w:t>
            </w:r>
            <w:r>
              <w:rPr>
                <w:rFonts w:hint="eastAsia" w:ascii="宋体" w:hAnsi="宋体"/>
                <w:color w:val="000000" w:themeColor="text1"/>
                <w:sz w:val="24"/>
              </w:rPr>
              <w:t>第</w:t>
            </w:r>
            <w:r>
              <w:rPr>
                <w:rFonts w:ascii="宋体" w:hAnsi="宋体"/>
                <w:color w:val="000000" w:themeColor="text1"/>
                <w:sz w:val="24"/>
              </w:rPr>
              <w:t>5</w:t>
            </w:r>
          </w:p>
        </w:tc>
      </w:tr>
    </w:tbl>
    <w:p>
      <w:pPr>
        <w:pStyle w:val="2"/>
        <w:numPr>
          <w:ilvl w:val="0"/>
          <w:numId w:val="2"/>
        </w:numPr>
        <w:spacing w:before="0" w:after="0" w:line="276" w:lineRule="auto"/>
        <w:rPr>
          <w:rFonts w:ascii="宋体" w:hAnsi="宋体"/>
          <w:color w:val="000000" w:themeColor="text1"/>
          <w:sz w:val="24"/>
          <w:szCs w:val="24"/>
        </w:rPr>
      </w:pPr>
      <w:r>
        <w:rPr>
          <w:rFonts w:hint="eastAsia" w:ascii="宋体" w:hAnsi="宋体"/>
          <w:sz w:val="32"/>
          <w:szCs w:val="32"/>
        </w:rPr>
        <w:t>详细功能描述</w:t>
      </w:r>
      <w:bookmarkStart w:id="0" w:name="_6.1.1、大数据服务器"/>
      <w:bookmarkEnd w:id="0"/>
    </w:p>
    <w:tbl>
      <w:tblPr>
        <w:tblStyle w:val="69"/>
        <w:tblpPr w:leftFromText="180" w:rightFromText="180" w:vertAnchor="text" w:tblpY="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034"/>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3"/>
            <w:shd w:val="clear" w:color="auto" w:fill="auto"/>
            <w:vAlign w:val="center"/>
          </w:tcPr>
          <w:p>
            <w:pPr>
              <w:spacing w:after="0" w:line="276" w:lineRule="auto"/>
              <w:ind w:firstLine="420" w:firstLineChars="200"/>
              <w:jc w:val="left"/>
              <w:rPr>
                <w:rFonts w:hint="eastAsia" w:ascii="宋体" w:hAnsi="宋体" w:eastAsia="宋体" w:cs="仿宋"/>
                <w:color w:val="000000" w:themeColor="text1"/>
                <w:szCs w:val="21"/>
              </w:rPr>
            </w:pPr>
            <w:bookmarkStart w:id="1" w:name="_6.1.2、容器服务器"/>
            <w:bookmarkEnd w:id="1"/>
            <w:r>
              <w:rPr>
                <w:rFonts w:hint="eastAsia" w:ascii="宋体" w:hAnsi="宋体" w:eastAsia="宋体" w:cs="仿宋"/>
                <w:color w:val="000000" w:themeColor="text1"/>
                <w:szCs w:val="21"/>
              </w:rPr>
              <w:t>本次合作研发项目计划建设</w:t>
            </w:r>
            <w:r>
              <w:rPr>
                <w:rFonts w:hint="eastAsia" w:ascii="宋体" w:hAnsi="宋体" w:eastAsia="宋体" w:cstheme="minorBidi"/>
                <w:color w:val="000000" w:themeColor="text1"/>
                <w:szCs w:val="21"/>
              </w:rPr>
              <w:t>放射科护理智能管理系统</w:t>
            </w:r>
            <w:r>
              <w:rPr>
                <w:rFonts w:hint="eastAsia" w:ascii="宋体" w:hAnsi="宋体" w:eastAsia="宋体" w:cs="仿宋"/>
                <w:color w:val="000000" w:themeColor="text1"/>
                <w:szCs w:val="21"/>
              </w:rPr>
              <w:t>一套，平台基于B</w:t>
            </w:r>
            <w:r>
              <w:rPr>
                <w:rFonts w:ascii="宋体" w:hAnsi="宋体" w:eastAsia="宋体" w:cs="仿宋"/>
                <w:color w:val="000000" w:themeColor="text1"/>
                <w:szCs w:val="21"/>
              </w:rPr>
              <w:t>/</w:t>
            </w:r>
            <w:r>
              <w:rPr>
                <w:rFonts w:hint="eastAsia" w:ascii="宋体" w:hAnsi="宋体" w:eastAsia="宋体" w:cs="仿宋"/>
                <w:color w:val="000000" w:themeColor="text1"/>
                <w:szCs w:val="21"/>
              </w:rPr>
              <w:t>S架构，支持Safari、Chrome、火狐等多种主流浏览器，支持PC及远程终端访问。部分模块基于实际需求可采用Android前端页面进行研发。为满足医院发展及学科亚学科建设要求，用人工智能技术带动提升影像科室患者护理服务水平。平台需覆盖以下功能模块：影像检查患者候检信息发布模块、影像检查患者宣教模块、增强患者指引信息发布与准备管理模块、影像检查对比剂智能发放系统模块、项目硬件与硬件合作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shd w:val="clear" w:color="auto" w:fill="auto"/>
            <w:vAlign w:val="center"/>
          </w:tcPr>
          <w:p>
            <w:pPr>
              <w:spacing w:line="276" w:lineRule="auto"/>
              <w:ind w:left="63" w:right="63"/>
              <w:jc w:val="center"/>
              <w:rPr>
                <w:rFonts w:ascii="宋体" w:hAnsi="宋体" w:eastAsia="宋体" w:cs="仿宋"/>
                <w:b/>
                <w:color w:val="000000" w:themeColor="text1"/>
                <w:szCs w:val="21"/>
              </w:rPr>
            </w:pPr>
            <w:r>
              <w:rPr>
                <w:rFonts w:hint="eastAsia" w:ascii="宋体" w:hAnsi="宋体" w:cs="仿宋" w:eastAsiaTheme="minorEastAsia"/>
                <w:b/>
                <w:color w:val="000000" w:themeColor="text1"/>
                <w:szCs w:val="21"/>
              </w:rPr>
              <w:t>主模块</w:t>
            </w:r>
          </w:p>
        </w:tc>
        <w:tc>
          <w:tcPr>
            <w:tcW w:w="1095" w:type="pct"/>
            <w:shd w:val="clear" w:color="auto" w:fill="auto"/>
            <w:vAlign w:val="center"/>
          </w:tcPr>
          <w:p>
            <w:pPr>
              <w:spacing w:line="276" w:lineRule="auto"/>
              <w:ind w:left="63" w:right="63"/>
              <w:jc w:val="center"/>
              <w:rPr>
                <w:rFonts w:ascii="宋体" w:hAnsi="宋体" w:eastAsia="宋体" w:cs="仿宋"/>
                <w:b/>
                <w:color w:val="000000" w:themeColor="text1"/>
                <w:szCs w:val="21"/>
              </w:rPr>
            </w:pPr>
            <w:r>
              <w:rPr>
                <w:rFonts w:hint="eastAsia" w:ascii="宋体" w:hAnsi="宋体" w:cs="仿宋" w:eastAsiaTheme="minorEastAsia"/>
                <w:b/>
                <w:color w:val="000000" w:themeColor="text1"/>
                <w:szCs w:val="21"/>
              </w:rPr>
              <w:t>子模块</w:t>
            </w:r>
          </w:p>
        </w:tc>
        <w:tc>
          <w:tcPr>
            <w:tcW w:w="3125" w:type="pct"/>
            <w:shd w:val="clear" w:color="auto" w:fill="auto"/>
            <w:vAlign w:val="center"/>
          </w:tcPr>
          <w:p>
            <w:pPr>
              <w:spacing w:after="0" w:line="276" w:lineRule="auto"/>
              <w:ind w:left="63" w:right="63" w:firstLine="241"/>
              <w:jc w:val="center"/>
              <w:rPr>
                <w:rFonts w:ascii="宋体" w:hAnsi="宋体" w:eastAsia="宋体" w:cs="仿宋"/>
                <w:b/>
                <w:color w:val="000000" w:themeColor="text1"/>
                <w:szCs w:val="21"/>
              </w:rPr>
            </w:pPr>
            <w:r>
              <w:rPr>
                <w:rFonts w:hint="eastAsia" w:ascii="宋体" w:hAnsi="宋体" w:cs="仿宋" w:eastAsiaTheme="minorEastAsia"/>
                <w:b/>
                <w:color w:val="000000" w:themeColor="text1"/>
                <w:szCs w:val="21"/>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780" w:type="pct"/>
            <w:vMerge w:val="restart"/>
            <w:shd w:val="clear" w:color="auto" w:fill="auto"/>
            <w:vAlign w:val="center"/>
          </w:tcPr>
          <w:p>
            <w:pPr>
              <w:spacing w:line="276" w:lineRule="auto"/>
              <w:ind w:left="63" w:right="63"/>
              <w:rPr>
                <w:rFonts w:ascii="宋体" w:hAnsi="宋体" w:eastAsia="宋体" w:cs="仿宋"/>
                <w:bCs/>
                <w:color w:val="000000" w:themeColor="text1"/>
                <w:szCs w:val="21"/>
              </w:rPr>
            </w:pPr>
            <w:r>
              <w:rPr>
                <w:rFonts w:hint="eastAsia" w:ascii="宋体" w:hAnsi="宋体" w:eastAsia="宋体" w:cs="仿宋"/>
                <w:bCs/>
                <w:color w:val="000000" w:themeColor="text1"/>
                <w:szCs w:val="21"/>
              </w:rPr>
              <w:t>1.影像检查</w:t>
            </w:r>
            <w:r>
              <w:rPr>
                <w:rFonts w:hint="eastAsia" w:ascii="宋体" w:hAnsi="宋体" w:eastAsia="宋体" w:cstheme="minorBidi"/>
                <w:color w:val="000000" w:themeColor="text1"/>
                <w:szCs w:val="21"/>
              </w:rPr>
              <w:t>患者候检信息发布模块</w:t>
            </w:r>
          </w:p>
        </w:tc>
        <w:tc>
          <w:tcPr>
            <w:tcW w:w="1095" w:type="pct"/>
            <w:shd w:val="clear" w:color="auto" w:fill="auto"/>
            <w:vAlign w:val="center"/>
          </w:tcPr>
          <w:p>
            <w:pPr>
              <w:spacing w:line="276" w:lineRule="auto"/>
              <w:ind w:right="63"/>
              <w:rPr>
                <w:rFonts w:ascii="宋体" w:hAnsi="宋体" w:eastAsia="宋体" w:cs="仿宋"/>
                <w:bCs/>
                <w:color w:val="000000" w:themeColor="text1"/>
                <w:szCs w:val="21"/>
              </w:rPr>
            </w:pPr>
            <w:r>
              <w:rPr>
                <w:rFonts w:hint="eastAsia" w:ascii="宋体" w:hAnsi="宋体" w:eastAsia="宋体" w:cs="仿宋"/>
                <w:bCs/>
                <w:color w:val="000000" w:themeColor="text1"/>
                <w:szCs w:val="21"/>
              </w:rPr>
              <w:t>1.</w:t>
            </w:r>
            <w:r>
              <w:rPr>
                <w:rFonts w:ascii="宋体" w:hAnsi="宋体" w:eastAsia="宋体" w:cs="仿宋"/>
                <w:bCs/>
                <w:color w:val="000000" w:themeColor="text1"/>
                <w:szCs w:val="21"/>
              </w:rPr>
              <w:t>1</w:t>
            </w:r>
            <w:r>
              <w:rPr>
                <w:rFonts w:hint="eastAsia" w:ascii="宋体" w:hAnsi="宋体" w:eastAsia="宋体" w:cs="仿宋"/>
                <w:bCs/>
                <w:color w:val="000000" w:themeColor="text1"/>
                <w:szCs w:val="21"/>
              </w:rPr>
              <w:t>患者端对接</w:t>
            </w:r>
          </w:p>
        </w:tc>
        <w:tc>
          <w:tcPr>
            <w:tcW w:w="3125" w:type="pct"/>
            <w:shd w:val="clear" w:color="auto" w:fill="auto"/>
            <w:vAlign w:val="center"/>
          </w:tcPr>
          <w:p>
            <w:pPr>
              <w:pStyle w:val="74"/>
              <w:spacing w:after="0" w:line="276" w:lineRule="auto"/>
              <w:ind w:left="460"/>
              <w:rPr>
                <w:rFonts w:ascii="宋体" w:hAnsi="宋体" w:eastAsia="宋体" w:cstheme="minorBidi"/>
                <w:color w:val="000000" w:themeColor="text1"/>
                <w:szCs w:val="21"/>
              </w:rPr>
            </w:pPr>
          </w:p>
          <w:p>
            <w:pPr>
              <w:pStyle w:val="74"/>
              <w:spacing w:after="0" w:line="276" w:lineRule="auto"/>
              <w:ind w:left="460"/>
              <w:rPr>
                <w:rFonts w:hint="eastAsia" w:ascii="宋体" w:hAnsi="宋体" w:eastAsia="宋体" w:cstheme="minorBidi"/>
                <w:color w:val="000000" w:themeColor="text1"/>
                <w:szCs w:val="21"/>
              </w:rPr>
            </w:pPr>
          </w:p>
          <w:p>
            <w:pPr>
              <w:pStyle w:val="74"/>
              <w:numPr>
                <w:ilvl w:val="0"/>
                <w:numId w:val="3"/>
              </w:numPr>
              <w:spacing w:after="0" w:line="276" w:lineRule="auto"/>
              <w:ind w:left="460" w:hanging="601"/>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▲支持对接我院微信公众号移动患者端，提供患者候检信息消息推送（提供患者候检排队功能提醒界面截图）；</w:t>
            </w:r>
          </w:p>
          <w:p>
            <w:pPr>
              <w:pStyle w:val="74"/>
              <w:numPr>
                <w:ilvl w:val="0"/>
                <w:numId w:val="3"/>
              </w:numPr>
              <w:spacing w:after="0" w:line="276" w:lineRule="auto"/>
              <w:ind w:left="460" w:hanging="601"/>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支持对接我院微信公众号移动患者端提供免登录服务；</w:t>
            </w:r>
          </w:p>
          <w:p>
            <w:pPr>
              <w:pStyle w:val="74"/>
              <w:numPr>
                <w:ilvl w:val="0"/>
                <w:numId w:val="3"/>
              </w:numPr>
              <w:spacing w:after="0" w:line="276" w:lineRule="auto"/>
              <w:ind w:left="460" w:hanging="601"/>
              <w:rPr>
                <w:rFonts w:hint="eastAsia" w:ascii="宋体" w:hAnsi="宋体" w:eastAsia="宋体" w:cs="仿宋"/>
                <w:b/>
                <w:color w:val="000000" w:themeColor="text1"/>
                <w:szCs w:val="21"/>
              </w:rPr>
            </w:pPr>
            <w:r>
              <w:rPr>
                <w:rFonts w:hint="eastAsia" w:ascii="宋体" w:hAnsi="宋体" w:eastAsia="宋体" w:cstheme="minorBidi"/>
                <w:color w:val="000000" w:themeColor="text1"/>
                <w:szCs w:val="21"/>
              </w:rPr>
              <w:t>支持获取检查患者基本信息。</w:t>
            </w:r>
          </w:p>
          <w:p>
            <w:pPr>
              <w:spacing w:after="0" w:line="276" w:lineRule="auto"/>
              <w:rPr>
                <w:rFonts w:ascii="宋体" w:hAnsi="宋体" w:cs="仿宋" w:eastAsiaTheme="minorEastAsia"/>
                <w:b/>
                <w:color w:val="000000" w:themeColor="text1"/>
                <w:szCs w:val="21"/>
              </w:rPr>
            </w:pPr>
          </w:p>
          <w:p>
            <w:pPr>
              <w:spacing w:after="0" w:line="276" w:lineRule="auto"/>
              <w:rPr>
                <w:rFonts w:hint="eastAsia" w:ascii="宋体" w:hAnsi="宋体" w:cs="仿宋" w:eastAsiaTheme="minorEastAsia"/>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shd w:val="clear" w:color="auto" w:fill="auto"/>
            <w:vAlign w:val="center"/>
          </w:tcPr>
          <w:p>
            <w:pPr>
              <w:spacing w:line="276" w:lineRule="auto"/>
              <w:ind w:right="63"/>
              <w:rPr>
                <w:rFonts w:ascii="宋体" w:hAnsi="宋体" w:eastAsia="宋体" w:cs="仿宋"/>
                <w:bCs/>
                <w:color w:val="000000" w:themeColor="text1"/>
                <w:szCs w:val="21"/>
              </w:rPr>
            </w:pPr>
            <w:r>
              <w:rPr>
                <w:rFonts w:hint="eastAsia" w:ascii="宋体" w:hAnsi="宋体" w:eastAsia="宋体" w:cs="仿宋"/>
                <w:bCs/>
                <w:color w:val="000000" w:themeColor="text1"/>
                <w:szCs w:val="21"/>
              </w:rPr>
              <w:t>1.</w:t>
            </w:r>
            <w:r>
              <w:rPr>
                <w:rFonts w:ascii="宋体" w:hAnsi="宋体" w:eastAsia="宋体" w:cs="仿宋"/>
                <w:bCs/>
                <w:color w:val="000000" w:themeColor="text1"/>
                <w:szCs w:val="21"/>
              </w:rPr>
              <w:t>2</w:t>
            </w:r>
            <w:r>
              <w:rPr>
                <w:rFonts w:hint="eastAsia" w:ascii="宋体" w:hAnsi="宋体" w:eastAsia="宋体" w:cs="仿宋"/>
                <w:bCs/>
                <w:color w:val="000000" w:themeColor="text1"/>
                <w:szCs w:val="21"/>
              </w:rPr>
              <w:t>患者候检信息获取</w:t>
            </w:r>
          </w:p>
        </w:tc>
        <w:tc>
          <w:tcPr>
            <w:tcW w:w="3125" w:type="pct"/>
            <w:shd w:val="clear" w:color="auto" w:fill="auto"/>
            <w:vAlign w:val="center"/>
          </w:tcPr>
          <w:p>
            <w:pPr>
              <w:pStyle w:val="74"/>
              <w:numPr>
                <w:ilvl w:val="0"/>
                <w:numId w:val="4"/>
              </w:numPr>
              <w:spacing w:after="0" w:line="276" w:lineRule="auto"/>
              <w:ind w:left="460"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支持获取检查患者影像检查预约信息，包括预约时间、预约检查类型、预约检查项目；</w:t>
            </w:r>
          </w:p>
          <w:p>
            <w:pPr>
              <w:pStyle w:val="74"/>
              <w:numPr>
                <w:ilvl w:val="0"/>
                <w:numId w:val="4"/>
              </w:numPr>
              <w:spacing w:after="0" w:line="276" w:lineRule="auto"/>
              <w:ind w:left="460"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支持获取影像科室业务系统检查患者报到信息；</w:t>
            </w:r>
          </w:p>
          <w:p>
            <w:pPr>
              <w:pStyle w:val="74"/>
              <w:numPr>
                <w:ilvl w:val="0"/>
                <w:numId w:val="4"/>
              </w:numPr>
              <w:spacing w:after="0" w:line="276" w:lineRule="auto"/>
              <w:ind w:left="460"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支持获取影像科室业务系统检查患者叫号信息；</w:t>
            </w:r>
          </w:p>
          <w:p>
            <w:pPr>
              <w:pStyle w:val="74"/>
              <w:numPr>
                <w:ilvl w:val="0"/>
                <w:numId w:val="4"/>
              </w:numPr>
              <w:spacing w:after="0" w:line="276" w:lineRule="auto"/>
              <w:ind w:left="460"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支持对接HIS系统获取检查患者医嘱或处方信息。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vMerge w:val="restart"/>
            <w:shd w:val="clear" w:color="auto" w:fill="auto"/>
            <w:vAlign w:val="center"/>
          </w:tcPr>
          <w:p>
            <w:pPr>
              <w:spacing w:line="276" w:lineRule="auto"/>
              <w:ind w:right="63"/>
              <w:rPr>
                <w:rFonts w:ascii="宋体" w:hAnsi="宋体" w:eastAsia="宋体" w:cs="仿宋"/>
                <w:bCs/>
                <w:color w:val="000000" w:themeColor="text1"/>
                <w:szCs w:val="21"/>
              </w:rPr>
            </w:pPr>
            <w:r>
              <w:rPr>
                <w:rFonts w:hint="eastAsia" w:ascii="宋体" w:hAnsi="宋体" w:eastAsia="宋体" w:cs="仿宋"/>
                <w:bCs/>
                <w:color w:val="000000" w:themeColor="text1"/>
                <w:szCs w:val="21"/>
              </w:rPr>
              <w:t>1</w:t>
            </w:r>
            <w:r>
              <w:rPr>
                <w:rFonts w:ascii="宋体" w:hAnsi="宋体" w:eastAsia="宋体" w:cs="仿宋"/>
                <w:bCs/>
                <w:color w:val="000000" w:themeColor="text1"/>
                <w:szCs w:val="21"/>
              </w:rPr>
              <w:t>.3</w:t>
            </w:r>
            <w:r>
              <w:rPr>
                <w:rFonts w:hint="eastAsia" w:ascii="宋体" w:hAnsi="宋体" w:eastAsia="宋体" w:cs="仿宋"/>
                <w:bCs/>
                <w:color w:val="000000" w:themeColor="text1"/>
                <w:szCs w:val="21"/>
              </w:rPr>
              <w:t>患者候检信息发布（</w:t>
            </w:r>
            <w:r>
              <w:rPr>
                <w:rFonts w:hint="eastAsia" w:ascii="宋体" w:hAnsi="宋体" w:eastAsia="宋体" w:cstheme="minorBidi"/>
                <w:color w:val="000000" w:themeColor="text1"/>
                <w:szCs w:val="21"/>
              </w:rPr>
              <w:t>预约信息发布、报到信息发布、叫号信息发布</w:t>
            </w:r>
            <w:r>
              <w:rPr>
                <w:rFonts w:hint="eastAsia" w:ascii="宋体" w:hAnsi="宋体" w:eastAsia="宋体" w:cs="仿宋"/>
                <w:bCs/>
                <w:color w:val="000000" w:themeColor="text1"/>
                <w:szCs w:val="21"/>
              </w:rPr>
              <w:t>）</w:t>
            </w:r>
          </w:p>
        </w:tc>
        <w:tc>
          <w:tcPr>
            <w:tcW w:w="3125" w:type="pct"/>
            <w:shd w:val="clear" w:color="auto" w:fill="auto"/>
            <w:vAlign w:val="center"/>
          </w:tcPr>
          <w:p>
            <w:pPr>
              <w:pStyle w:val="74"/>
              <w:numPr>
                <w:ilvl w:val="0"/>
                <w:numId w:val="5"/>
              </w:numPr>
              <w:spacing w:line="276" w:lineRule="auto"/>
              <w:ind w:left="456" w:hanging="57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支持患者预约后，向患者推送检查患者信息、检查预约信息；</w:t>
            </w:r>
          </w:p>
          <w:p>
            <w:pPr>
              <w:pStyle w:val="74"/>
              <w:numPr>
                <w:ilvl w:val="0"/>
                <w:numId w:val="5"/>
              </w:numPr>
              <w:spacing w:line="276" w:lineRule="auto"/>
              <w:ind w:left="456" w:hanging="57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支持患者预约后，根据检查类型和检查项目向患者推送检查前注意事项内容链接；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vMerge w:val="continue"/>
            <w:shd w:val="clear" w:color="auto" w:fill="auto"/>
            <w:vAlign w:val="center"/>
          </w:tcPr>
          <w:p>
            <w:pPr>
              <w:spacing w:line="276" w:lineRule="auto"/>
              <w:ind w:right="63"/>
              <w:rPr>
                <w:rFonts w:ascii="宋体" w:hAnsi="宋体" w:eastAsia="宋体" w:cs="仿宋"/>
                <w:bCs/>
                <w:color w:val="000000" w:themeColor="text1"/>
                <w:szCs w:val="21"/>
              </w:rPr>
            </w:pPr>
          </w:p>
        </w:tc>
        <w:tc>
          <w:tcPr>
            <w:tcW w:w="3125" w:type="pct"/>
            <w:shd w:val="clear" w:color="auto" w:fill="auto"/>
            <w:vAlign w:val="center"/>
          </w:tcPr>
          <w:p>
            <w:pPr>
              <w:pStyle w:val="74"/>
              <w:numPr>
                <w:ilvl w:val="0"/>
                <w:numId w:val="5"/>
              </w:numPr>
              <w:spacing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支持患者报到后，向患者推送检查患者信息、检查项目信息；</w:t>
            </w:r>
          </w:p>
          <w:p>
            <w:pPr>
              <w:pStyle w:val="74"/>
              <w:numPr>
                <w:ilvl w:val="0"/>
                <w:numId w:val="5"/>
              </w:numPr>
              <w:spacing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▲支持患者报到后，向患者推送候检人数、预计候检时间（提供患者候检排队进程提醒界面截图）；</w:t>
            </w:r>
          </w:p>
          <w:p>
            <w:pPr>
              <w:pStyle w:val="74"/>
              <w:numPr>
                <w:ilvl w:val="0"/>
                <w:numId w:val="5"/>
              </w:numPr>
              <w:spacing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支持普通检查患者报到后，根据检查类型和检查项目向患者推送检查前注意事项内容链接；</w:t>
            </w:r>
          </w:p>
          <w:p>
            <w:pPr>
              <w:pStyle w:val="74"/>
              <w:numPr>
                <w:ilvl w:val="0"/>
                <w:numId w:val="5"/>
              </w:num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支持增强检查患者报到后，向患者推送增强检查前准备注意事项内容链接。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vMerge w:val="continue"/>
            <w:shd w:val="clear" w:color="auto" w:fill="auto"/>
            <w:vAlign w:val="center"/>
          </w:tcPr>
          <w:p>
            <w:pPr>
              <w:spacing w:line="276" w:lineRule="auto"/>
              <w:ind w:right="63"/>
              <w:rPr>
                <w:rFonts w:ascii="宋体" w:hAnsi="宋体" w:eastAsia="宋体" w:cs="仿宋"/>
                <w:bCs/>
                <w:color w:val="000000" w:themeColor="text1"/>
                <w:szCs w:val="21"/>
              </w:rPr>
            </w:pPr>
          </w:p>
        </w:tc>
        <w:tc>
          <w:tcPr>
            <w:tcW w:w="3125" w:type="pct"/>
            <w:shd w:val="clear" w:color="auto" w:fill="auto"/>
            <w:vAlign w:val="center"/>
          </w:tcPr>
          <w:p>
            <w:pPr>
              <w:pStyle w:val="74"/>
              <w:numPr>
                <w:ilvl w:val="0"/>
                <w:numId w:val="5"/>
              </w:numPr>
              <w:spacing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支持患者被叫号后，向患者推送叫号信息，包括检查患者信息、检查类型和项目信息、检查室信息；</w:t>
            </w:r>
          </w:p>
          <w:p>
            <w:pPr>
              <w:pStyle w:val="74"/>
              <w:numPr>
                <w:ilvl w:val="0"/>
                <w:numId w:val="5"/>
              </w:numPr>
              <w:spacing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支持检查患者被叫号后，向患者推送检查室位置信息；</w:t>
            </w:r>
          </w:p>
          <w:p>
            <w:pPr>
              <w:pStyle w:val="74"/>
              <w:numPr>
                <w:ilvl w:val="0"/>
                <w:numId w:val="5"/>
              </w:num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支持增强检查患者被叫号后，向患者推送准备室位置信息。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780" w:type="pct"/>
            <w:vMerge w:val="restart"/>
            <w:shd w:val="clear" w:color="auto" w:fill="auto"/>
            <w:vAlign w:val="center"/>
          </w:tcPr>
          <w:p>
            <w:pPr>
              <w:spacing w:line="276" w:lineRule="auto"/>
              <w:ind w:left="63" w:right="63"/>
              <w:rPr>
                <w:rFonts w:ascii="宋体" w:hAnsi="宋体" w:eastAsia="宋体" w:cs="仿宋"/>
                <w:bCs/>
                <w:color w:val="000000" w:themeColor="text1"/>
                <w:szCs w:val="21"/>
              </w:rPr>
            </w:pPr>
            <w:r>
              <w:rPr>
                <w:rFonts w:hint="eastAsia" w:ascii="宋体" w:hAnsi="宋体" w:eastAsia="宋体" w:cs="仿宋"/>
                <w:bCs/>
                <w:color w:val="000000" w:themeColor="text1"/>
                <w:szCs w:val="21"/>
              </w:rPr>
              <w:t>2.影像检查患者宣教模块</w:t>
            </w:r>
          </w:p>
        </w:tc>
        <w:tc>
          <w:tcPr>
            <w:tcW w:w="1095" w:type="pct"/>
            <w:shd w:val="clear" w:color="auto" w:fill="auto"/>
            <w:vAlign w:val="center"/>
          </w:tcPr>
          <w:p>
            <w:pPr>
              <w:spacing w:line="276" w:lineRule="auto"/>
              <w:ind w:right="63"/>
              <w:rPr>
                <w:rFonts w:ascii="宋体" w:hAnsi="宋体" w:eastAsia="宋体" w:cs="仿宋"/>
                <w:bCs/>
                <w:color w:val="000000" w:themeColor="text1"/>
                <w:szCs w:val="21"/>
              </w:rPr>
            </w:pPr>
            <w:r>
              <w:rPr>
                <w:rFonts w:hint="eastAsia" w:ascii="宋体" w:hAnsi="宋体" w:eastAsia="宋体" w:cs="仿宋"/>
                <w:bCs/>
                <w:color w:val="000000" w:themeColor="text1"/>
                <w:szCs w:val="21"/>
              </w:rPr>
              <w:t>2.1患者端对接</w:t>
            </w:r>
          </w:p>
        </w:tc>
        <w:tc>
          <w:tcPr>
            <w:tcW w:w="3125" w:type="pct"/>
            <w:shd w:val="clear" w:color="auto" w:fill="auto"/>
            <w:vAlign w:val="center"/>
          </w:tcPr>
          <w:p>
            <w:pPr>
              <w:pStyle w:val="74"/>
              <w:numPr>
                <w:ilvl w:val="0"/>
                <w:numId w:val="6"/>
              </w:num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支持对接我院微信公众号或小程序等移动患者端，提供患者宣教入口；</w:t>
            </w:r>
          </w:p>
          <w:p>
            <w:pPr>
              <w:pStyle w:val="74"/>
              <w:numPr>
                <w:ilvl w:val="0"/>
                <w:numId w:val="6"/>
              </w:num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支持对接我院移动患者端提供免登录服务；</w:t>
            </w:r>
          </w:p>
          <w:p>
            <w:pPr>
              <w:pStyle w:val="74"/>
              <w:numPr>
                <w:ilvl w:val="0"/>
                <w:numId w:val="6"/>
              </w:numPr>
              <w:spacing w:after="0" w:line="276" w:lineRule="auto"/>
              <w:rPr>
                <w:rFonts w:ascii="宋体" w:hAnsi="宋体" w:eastAsiaTheme="minorEastAsia" w:cstheme="minorBidi"/>
                <w:color w:val="000000" w:themeColor="text1"/>
                <w:szCs w:val="21"/>
              </w:rPr>
            </w:pPr>
            <w:r>
              <w:rPr>
                <w:rFonts w:hint="eastAsia" w:ascii="宋体" w:hAnsi="宋体" w:eastAsia="宋体" w:cstheme="minorBidi"/>
                <w:color w:val="000000" w:themeColor="text1"/>
                <w:szCs w:val="21"/>
              </w:rPr>
              <w:t>支持对接我院移动患者端提供指定消息定向推送服务；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shd w:val="clear" w:color="auto" w:fill="auto"/>
            <w:vAlign w:val="center"/>
          </w:tcPr>
          <w:p>
            <w:pPr>
              <w:spacing w:line="276" w:lineRule="auto"/>
              <w:ind w:right="63"/>
              <w:rPr>
                <w:rFonts w:ascii="宋体" w:hAnsi="宋体" w:eastAsia="宋体" w:cs="仿宋"/>
                <w:bCs/>
                <w:color w:val="000000" w:themeColor="text1"/>
                <w:szCs w:val="21"/>
              </w:rPr>
            </w:pPr>
            <w:r>
              <w:rPr>
                <w:rFonts w:hint="eastAsia" w:ascii="宋体" w:hAnsi="宋体" w:eastAsia="宋体" w:cs="仿宋"/>
                <w:bCs/>
                <w:color w:val="000000" w:themeColor="text1"/>
                <w:szCs w:val="21"/>
              </w:rPr>
              <w:t>2.2患者宣教主页与宣教内容</w:t>
            </w:r>
          </w:p>
        </w:tc>
        <w:tc>
          <w:tcPr>
            <w:tcW w:w="3125" w:type="pct"/>
            <w:shd w:val="clear" w:color="auto" w:fill="auto"/>
            <w:vAlign w:val="center"/>
          </w:tcPr>
          <w:p>
            <w:pPr>
              <w:pStyle w:val="74"/>
              <w:spacing w:after="0" w:line="276" w:lineRule="auto"/>
              <w:ind w:left="460"/>
              <w:rPr>
                <w:rFonts w:ascii="宋体" w:hAnsi="宋体" w:eastAsia="宋体" w:cstheme="minorBidi"/>
                <w:color w:val="000000" w:themeColor="text1"/>
                <w:szCs w:val="21"/>
              </w:rPr>
            </w:pPr>
          </w:p>
          <w:p>
            <w:pPr>
              <w:spacing w:after="0" w:line="276" w:lineRule="auto"/>
              <w:rPr>
                <w:rFonts w:hint="eastAsia" w:ascii="宋体" w:hAnsi="宋体" w:eastAsiaTheme="minorEastAsia" w:cstheme="minorBidi"/>
                <w:color w:val="000000" w:themeColor="text1"/>
                <w:szCs w:val="21"/>
              </w:rPr>
            </w:pPr>
          </w:p>
          <w:p>
            <w:pPr>
              <w:pStyle w:val="74"/>
              <w:numPr>
                <w:ilvl w:val="0"/>
                <w:numId w:val="7"/>
              </w:numPr>
              <w:spacing w:after="0" w:line="276" w:lineRule="auto"/>
              <w:ind w:left="460" w:hanging="54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支持统一的影像患者宣教主页，检查患者可扫码进入患者宣教主页；</w:t>
            </w:r>
          </w:p>
          <w:p>
            <w:pPr>
              <w:pStyle w:val="74"/>
              <w:numPr>
                <w:ilvl w:val="0"/>
                <w:numId w:val="7"/>
              </w:numPr>
              <w:spacing w:after="0" w:line="276" w:lineRule="auto"/>
              <w:ind w:left="460" w:hanging="547"/>
              <w:rPr>
                <w:rFonts w:ascii="宋体" w:hAnsi="宋体" w:eastAsia="宋体" w:cstheme="minorBidi"/>
                <w:color w:val="000000" w:themeColor="text1"/>
                <w:szCs w:val="21"/>
              </w:rPr>
            </w:pPr>
            <w:r>
              <w:rPr>
                <w:rFonts w:hint="eastAsia" w:ascii="宋体" w:hAnsi="宋体" w:eastAsia="宋体" w:cstheme="minorBidi"/>
                <w:color w:val="000000" w:themeColor="text1"/>
                <w:szCs w:val="21"/>
              </w:rPr>
              <w:t>▲患者宣教包含影像科普、科室重点项目介绍、检查注意事项等（提供移动端患者宣教主页面界面截图）；</w:t>
            </w:r>
          </w:p>
          <w:p>
            <w:pPr>
              <w:pStyle w:val="74"/>
              <w:numPr>
                <w:ilvl w:val="0"/>
                <w:numId w:val="7"/>
              </w:numPr>
              <w:spacing w:after="0" w:line="276" w:lineRule="auto"/>
              <w:ind w:left="460" w:hanging="547"/>
              <w:rPr>
                <w:rFonts w:ascii="宋体" w:hAnsi="宋体" w:eastAsia="宋体" w:cstheme="minorBidi"/>
                <w:color w:val="000000" w:themeColor="text1"/>
                <w:szCs w:val="21"/>
              </w:rPr>
            </w:pPr>
            <w:r>
              <w:rPr>
                <w:rFonts w:hint="eastAsia" w:ascii="宋体" w:hAnsi="宋体" w:eastAsia="宋体" w:cstheme="minorBidi"/>
                <w:color w:val="000000" w:themeColor="text1"/>
                <w:szCs w:val="21"/>
              </w:rPr>
              <w:t>宣教内容可以文字、图片、视频等形式展示；</w:t>
            </w:r>
          </w:p>
          <w:p>
            <w:pPr>
              <w:pStyle w:val="74"/>
              <w:numPr>
                <w:ilvl w:val="0"/>
                <w:numId w:val="7"/>
              </w:numPr>
              <w:spacing w:after="0" w:line="276" w:lineRule="auto"/>
              <w:ind w:left="460" w:hanging="547"/>
              <w:rPr>
                <w:rFonts w:ascii="宋体" w:hAnsi="宋体" w:eastAsia="宋体" w:cstheme="minorBidi"/>
                <w:color w:val="000000" w:themeColor="text1"/>
                <w:szCs w:val="21"/>
              </w:rPr>
            </w:pPr>
            <w:r>
              <w:rPr>
                <w:rFonts w:hint="eastAsia" w:ascii="宋体" w:hAnsi="宋体" w:eastAsia="宋体" w:cstheme="minorBidi"/>
                <w:color w:val="000000" w:themeColor="text1"/>
                <w:szCs w:val="21"/>
              </w:rPr>
              <w:t>承建商在系统建设期间，负责对影像科室宣教视频内容进行制作。</w:t>
            </w:r>
          </w:p>
          <w:p>
            <w:pPr>
              <w:pStyle w:val="74"/>
              <w:spacing w:after="0" w:line="276" w:lineRule="auto"/>
              <w:ind w:left="460"/>
              <w:rPr>
                <w:rFonts w:hint="eastAsia" w:ascii="宋体" w:hAnsi="宋体" w:eastAsia="宋体" w:cstheme="minorBidi"/>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shd w:val="clear" w:color="auto" w:fill="auto"/>
            <w:vAlign w:val="center"/>
          </w:tcPr>
          <w:p>
            <w:pPr>
              <w:spacing w:line="276" w:lineRule="auto"/>
              <w:ind w:right="63"/>
              <w:rPr>
                <w:rFonts w:ascii="宋体" w:hAnsi="宋体" w:eastAsia="宋体" w:cs="仿宋"/>
                <w:bCs/>
                <w:color w:val="000000" w:themeColor="text1"/>
                <w:szCs w:val="21"/>
              </w:rPr>
            </w:pPr>
            <w:r>
              <w:rPr>
                <w:rFonts w:hint="eastAsia" w:ascii="宋体" w:hAnsi="宋体" w:eastAsia="宋体" w:cs="仿宋"/>
                <w:bCs/>
                <w:color w:val="000000" w:themeColor="text1"/>
                <w:szCs w:val="21"/>
              </w:rPr>
              <w:t>2.3患者检后与复查信息发布</w:t>
            </w:r>
          </w:p>
        </w:tc>
        <w:tc>
          <w:tcPr>
            <w:tcW w:w="3125" w:type="pct"/>
            <w:shd w:val="clear" w:color="auto" w:fill="auto"/>
            <w:vAlign w:val="center"/>
          </w:tcPr>
          <w:p>
            <w:pPr>
              <w:pStyle w:val="74"/>
              <w:numPr>
                <w:ilvl w:val="0"/>
                <w:numId w:val="8"/>
              </w:numPr>
              <w:spacing w:after="0" w:line="276" w:lineRule="auto"/>
              <w:ind w:left="461" w:leftChars="-66" w:hanging="600" w:hangingChars="286"/>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支持在报告签发后，向移动患者端推送签发状态及报告、图像查看入口链接；</w:t>
            </w:r>
          </w:p>
          <w:p>
            <w:pPr>
              <w:pStyle w:val="74"/>
              <w:numPr>
                <w:ilvl w:val="0"/>
                <w:numId w:val="8"/>
              </w:numPr>
              <w:spacing w:after="0" w:line="276" w:lineRule="auto"/>
              <w:ind w:left="461" w:leftChars="-66" w:hanging="600" w:hangingChars="286"/>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支持在报告签发后，患者在移动患者端可申请将检查图像文件发送至指定邮箱；</w:t>
            </w:r>
          </w:p>
          <w:p>
            <w:pPr>
              <w:pStyle w:val="74"/>
              <w:numPr>
                <w:ilvl w:val="0"/>
                <w:numId w:val="8"/>
              </w:numPr>
              <w:spacing w:after="0" w:line="276" w:lineRule="auto"/>
              <w:ind w:left="461" w:leftChars="-66" w:hanging="600" w:hangingChars="286"/>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支持获取分析检查报告中的随访或复查信息，并提取其中随访或复查建议周期信息；</w:t>
            </w:r>
          </w:p>
          <w:p>
            <w:pPr>
              <w:pStyle w:val="74"/>
              <w:numPr>
                <w:ilvl w:val="0"/>
                <w:numId w:val="8"/>
              </w:numPr>
              <w:spacing w:after="0" w:line="276" w:lineRule="auto"/>
              <w:ind w:left="461" w:leftChars="-66" w:hanging="600" w:hangingChars="286"/>
              <w:rPr>
                <w:rFonts w:ascii="宋体" w:hAnsi="宋体" w:eastAsia="宋体" w:cstheme="minorBidi"/>
                <w:color w:val="000000" w:themeColor="text1"/>
                <w:szCs w:val="21"/>
              </w:rPr>
            </w:pPr>
            <w:r>
              <w:rPr>
                <w:rFonts w:hint="eastAsia" w:ascii="宋体" w:hAnsi="宋体" w:eastAsia="宋体" w:cstheme="minorBidi"/>
                <w:color w:val="000000" w:themeColor="text1"/>
                <w:szCs w:val="21"/>
              </w:rPr>
              <w:t>按照随访或复查建议周期生成后台待推送任务，在建议周期结束前一个月内向患者推送提示复查信息，并向患者推送我院自主开单、自助预约功能链接；</w:t>
            </w:r>
          </w:p>
          <w:p>
            <w:pPr>
              <w:pStyle w:val="74"/>
              <w:numPr>
                <w:ilvl w:val="0"/>
                <w:numId w:val="8"/>
              </w:numPr>
              <w:spacing w:after="0" w:line="276" w:lineRule="auto"/>
              <w:ind w:left="461" w:leftChars="-66" w:hanging="600" w:hangingChars="286"/>
              <w:rPr>
                <w:rFonts w:ascii="宋体" w:hAnsi="宋体" w:eastAsia="宋体" w:cstheme="minorBidi"/>
                <w:color w:val="000000" w:themeColor="text1"/>
                <w:szCs w:val="21"/>
              </w:rPr>
            </w:pPr>
            <w:r>
              <w:rPr>
                <w:rFonts w:hint="eastAsia" w:ascii="宋体" w:hAnsi="宋体" w:eastAsia="宋体" w:cstheme="minorBidi"/>
                <w:color w:val="000000" w:themeColor="text1"/>
                <w:szCs w:val="21"/>
              </w:rPr>
              <w:t>建议周期待推送任务的生成应有相关避免重复推送规则，如在周期内患者已进行相同影像检查项目的复查，则该定时任务作废；</w:t>
            </w:r>
          </w:p>
          <w:p>
            <w:pPr>
              <w:pStyle w:val="74"/>
              <w:numPr>
                <w:ilvl w:val="0"/>
                <w:numId w:val="8"/>
              </w:numPr>
              <w:spacing w:after="0" w:line="276" w:lineRule="auto"/>
              <w:ind w:left="461" w:leftChars="-66" w:hanging="600" w:hangingChars="286"/>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支持在患者检查结束后，向患者推送放射科检查满意度调查问卷，系统定期对问卷进行综合统计，产生满意度调查报表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shd w:val="clear" w:color="auto" w:fill="auto"/>
            <w:vAlign w:val="center"/>
          </w:tcPr>
          <w:p>
            <w:pPr>
              <w:spacing w:line="276" w:lineRule="auto"/>
              <w:ind w:right="63"/>
              <w:rPr>
                <w:rFonts w:ascii="宋体" w:hAnsi="宋体" w:eastAsia="宋体" w:cs="仿宋"/>
                <w:bCs/>
                <w:color w:val="000000" w:themeColor="text1"/>
                <w:szCs w:val="21"/>
              </w:rPr>
            </w:pPr>
            <w:r>
              <w:rPr>
                <w:rFonts w:hint="eastAsia" w:ascii="宋体" w:hAnsi="宋体" w:eastAsia="宋体" w:cs="仿宋"/>
                <w:bCs/>
                <w:color w:val="000000" w:themeColor="text1"/>
                <w:szCs w:val="21"/>
              </w:rPr>
              <w:t>2.4患者宣教内容管理</w:t>
            </w:r>
          </w:p>
        </w:tc>
        <w:tc>
          <w:tcPr>
            <w:tcW w:w="3125" w:type="pct"/>
            <w:shd w:val="clear" w:color="auto" w:fill="auto"/>
            <w:vAlign w:val="center"/>
          </w:tcPr>
          <w:p>
            <w:pPr>
              <w:pStyle w:val="74"/>
              <w:numPr>
                <w:ilvl w:val="0"/>
                <w:numId w:val="9"/>
              </w:numPr>
              <w:spacing w:after="0" w:line="276" w:lineRule="auto"/>
              <w:ind w:hanging="547"/>
              <w:rPr>
                <w:rFonts w:ascii="宋体" w:hAnsi="宋体" w:eastAsia="宋体" w:cstheme="minorBidi"/>
                <w:color w:val="000000" w:themeColor="text1"/>
                <w:szCs w:val="21"/>
              </w:rPr>
            </w:pPr>
            <w:r>
              <w:rPr>
                <w:rFonts w:hint="eastAsia" w:ascii="宋体" w:hAnsi="宋体" w:eastAsia="宋体" w:cstheme="minorBidi"/>
                <w:color w:val="000000" w:themeColor="text1"/>
                <w:szCs w:val="21"/>
              </w:rPr>
              <w:t>可在管理页面编辑影像科普、科室重点项目介绍、检查注意事项等板块的子条目，包括对子条目的增删、停用；</w:t>
            </w:r>
          </w:p>
          <w:p>
            <w:pPr>
              <w:pStyle w:val="74"/>
              <w:numPr>
                <w:ilvl w:val="0"/>
                <w:numId w:val="9"/>
              </w:numPr>
              <w:spacing w:after="0" w:line="276" w:lineRule="auto"/>
              <w:ind w:hanging="547"/>
              <w:rPr>
                <w:rFonts w:ascii="宋体" w:hAnsi="宋体" w:eastAsia="宋体" w:cstheme="minorBidi"/>
                <w:color w:val="000000" w:themeColor="text1"/>
                <w:szCs w:val="21"/>
              </w:rPr>
            </w:pPr>
            <w:r>
              <w:rPr>
                <w:rFonts w:hint="eastAsia" w:ascii="宋体" w:hAnsi="宋体" w:eastAsia="宋体" w:cstheme="minorBidi"/>
                <w:color w:val="000000" w:themeColor="text1"/>
                <w:szCs w:val="21"/>
              </w:rPr>
              <w:t>▲管理人员可在管理页面自主编辑子条目具体内容，包括文字、图片编辑和视频上传（提供新增影像科普视频编辑界面界面截图）；</w:t>
            </w:r>
          </w:p>
          <w:p>
            <w:pPr>
              <w:pStyle w:val="74"/>
              <w:numPr>
                <w:ilvl w:val="0"/>
                <w:numId w:val="9"/>
              </w:numPr>
              <w:spacing w:after="0" w:line="276" w:lineRule="auto"/>
              <w:ind w:hanging="547"/>
              <w:rPr>
                <w:rFonts w:ascii="宋体" w:hAnsi="宋体" w:eastAsia="宋体" w:cstheme="minorBidi"/>
                <w:color w:val="000000" w:themeColor="text1"/>
                <w:szCs w:val="21"/>
              </w:rPr>
            </w:pPr>
            <w:r>
              <w:rPr>
                <w:rFonts w:hint="eastAsia" w:ascii="宋体" w:hAnsi="宋体" w:eastAsia="宋体" w:cstheme="minorBidi"/>
                <w:color w:val="000000" w:themeColor="text1"/>
                <w:szCs w:val="21"/>
              </w:rPr>
              <w:t>可管理编辑普通检查患者注意事项链接内容；</w:t>
            </w:r>
          </w:p>
          <w:p>
            <w:pPr>
              <w:pStyle w:val="74"/>
              <w:numPr>
                <w:ilvl w:val="0"/>
                <w:numId w:val="9"/>
              </w:numPr>
              <w:spacing w:after="0" w:line="276" w:lineRule="auto"/>
              <w:ind w:hanging="547"/>
              <w:rPr>
                <w:rFonts w:ascii="宋体" w:hAnsi="宋体" w:eastAsia="宋体" w:cstheme="minorBidi"/>
                <w:color w:val="000000" w:themeColor="text1"/>
                <w:szCs w:val="21"/>
              </w:rPr>
            </w:pPr>
            <w:r>
              <w:rPr>
                <w:rFonts w:hint="eastAsia" w:ascii="宋体" w:hAnsi="宋体" w:eastAsia="宋体" w:cstheme="minorBidi"/>
                <w:color w:val="000000" w:themeColor="text1"/>
                <w:szCs w:val="21"/>
              </w:rPr>
              <w:t>可管理编辑增强检查患者注意事项链接内容；</w:t>
            </w:r>
          </w:p>
          <w:p>
            <w:pPr>
              <w:pStyle w:val="74"/>
              <w:numPr>
                <w:ilvl w:val="0"/>
                <w:numId w:val="9"/>
              </w:numPr>
              <w:spacing w:after="0" w:line="276" w:lineRule="auto"/>
              <w:ind w:hanging="547"/>
              <w:rPr>
                <w:rFonts w:ascii="宋体" w:hAnsi="宋体" w:eastAsia="宋体" w:cstheme="minorBidi"/>
                <w:color w:val="000000" w:themeColor="text1"/>
                <w:szCs w:val="21"/>
              </w:rPr>
            </w:pPr>
            <w:r>
              <w:rPr>
                <w:rFonts w:hint="eastAsia" w:ascii="宋体" w:hAnsi="宋体" w:eastAsia="宋体" w:cstheme="minorBidi"/>
                <w:color w:val="000000" w:themeColor="text1"/>
                <w:szCs w:val="21"/>
              </w:rPr>
              <w:t>可管理编辑其他各类相关影像检查注意事项链接内容。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trPr>
        <w:tc>
          <w:tcPr>
            <w:tcW w:w="780" w:type="pct"/>
            <w:vMerge w:val="restart"/>
            <w:shd w:val="clear" w:color="auto" w:fill="auto"/>
            <w:vAlign w:val="center"/>
          </w:tcPr>
          <w:p>
            <w:pPr>
              <w:spacing w:line="276" w:lineRule="auto"/>
              <w:ind w:left="63" w:right="63"/>
              <w:rPr>
                <w:rFonts w:ascii="宋体" w:hAnsi="宋体" w:eastAsia="宋体" w:cs="仿宋"/>
                <w:bCs/>
                <w:color w:val="000000" w:themeColor="text1"/>
                <w:szCs w:val="21"/>
              </w:rPr>
            </w:pPr>
            <w:r>
              <w:rPr>
                <w:rFonts w:hint="eastAsia" w:ascii="宋体" w:hAnsi="宋体" w:eastAsia="宋体" w:cs="仿宋"/>
                <w:bCs/>
                <w:color w:val="000000" w:themeColor="text1"/>
                <w:szCs w:val="21"/>
              </w:rPr>
              <w:t>3.影像检查患者指引信息发布与准备管理模块</w:t>
            </w:r>
          </w:p>
        </w:tc>
        <w:tc>
          <w:tcPr>
            <w:tcW w:w="1095" w:type="pct"/>
            <w:shd w:val="clear" w:color="auto" w:fill="auto"/>
            <w:vAlign w:val="center"/>
          </w:tcPr>
          <w:p>
            <w:pPr>
              <w:spacing w:line="276" w:lineRule="auto"/>
              <w:ind w:right="63"/>
              <w:rPr>
                <w:rFonts w:ascii="宋体" w:hAnsi="宋体" w:eastAsia="宋体" w:cs="仿宋"/>
                <w:bCs/>
                <w:color w:val="000000" w:themeColor="text1"/>
                <w:szCs w:val="21"/>
              </w:rPr>
            </w:pPr>
            <w:r>
              <w:rPr>
                <w:rFonts w:hint="eastAsia" w:ascii="宋体" w:hAnsi="宋体" w:eastAsia="宋体" w:cstheme="minorBidi"/>
                <w:color w:val="000000" w:themeColor="text1"/>
                <w:szCs w:val="21"/>
              </w:rPr>
              <w:t>3.</w:t>
            </w:r>
            <w:r>
              <w:rPr>
                <w:rFonts w:ascii="宋体" w:hAnsi="宋体" w:eastAsia="宋体" w:cstheme="minorBidi"/>
                <w:color w:val="000000" w:themeColor="text1"/>
                <w:szCs w:val="21"/>
              </w:rPr>
              <w:t>1</w:t>
            </w:r>
            <w:r>
              <w:rPr>
                <w:rFonts w:hint="eastAsia" w:ascii="宋体" w:hAnsi="宋体" w:eastAsia="宋体" w:cstheme="minorBidi"/>
                <w:color w:val="000000" w:themeColor="text1"/>
                <w:szCs w:val="21"/>
              </w:rPr>
              <w:t>检查信息获取</w:t>
            </w:r>
          </w:p>
        </w:tc>
        <w:tc>
          <w:tcPr>
            <w:tcW w:w="3125" w:type="pct"/>
            <w:shd w:val="clear" w:color="auto" w:fill="auto"/>
            <w:vAlign w:val="center"/>
          </w:tcPr>
          <w:p>
            <w:pPr>
              <w:pStyle w:val="74"/>
              <w:spacing w:after="0" w:line="276" w:lineRule="auto"/>
              <w:ind w:left="460"/>
              <w:rPr>
                <w:rFonts w:hint="eastAsia" w:ascii="宋体" w:hAnsi="宋体" w:eastAsia="宋体" w:cstheme="minorBidi"/>
                <w:color w:val="000000" w:themeColor="text1"/>
                <w:szCs w:val="21"/>
              </w:rPr>
            </w:pPr>
          </w:p>
          <w:p>
            <w:pPr>
              <w:pStyle w:val="74"/>
              <w:numPr>
                <w:ilvl w:val="0"/>
                <w:numId w:val="10"/>
              </w:numPr>
              <w:spacing w:after="0" w:line="276" w:lineRule="auto"/>
              <w:ind w:left="460" w:hanging="581"/>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支持获取影像业务系统中检查信息，包括检查患者信息、检查项目信息；</w:t>
            </w:r>
          </w:p>
          <w:p>
            <w:pPr>
              <w:pStyle w:val="74"/>
              <w:numPr>
                <w:ilvl w:val="0"/>
                <w:numId w:val="10"/>
              </w:numPr>
              <w:spacing w:after="0" w:line="276" w:lineRule="auto"/>
              <w:ind w:left="460" w:hanging="581"/>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支持对接</w:t>
            </w:r>
            <w:r>
              <w:rPr>
                <w:rFonts w:ascii="宋体" w:hAnsi="宋体" w:eastAsia="宋体" w:cstheme="minorBidi"/>
                <w:color w:val="000000" w:themeColor="text1"/>
                <w:szCs w:val="21"/>
              </w:rPr>
              <w:t>HIS系统获取检查患者</w:t>
            </w:r>
            <w:r>
              <w:rPr>
                <w:rFonts w:hint="eastAsia" w:ascii="宋体" w:hAnsi="宋体" w:eastAsia="宋体" w:cstheme="minorBidi"/>
                <w:color w:val="000000" w:themeColor="text1"/>
                <w:szCs w:val="21"/>
              </w:rPr>
              <w:t>主诉、病史信息、检验信息。</w:t>
            </w:r>
          </w:p>
          <w:p>
            <w:pPr>
              <w:pStyle w:val="74"/>
              <w:numPr>
                <w:ilvl w:val="0"/>
                <w:numId w:val="10"/>
              </w:numPr>
              <w:spacing w:after="0" w:line="276" w:lineRule="auto"/>
              <w:ind w:left="460" w:hanging="581"/>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支持获取影像科室业务系统检查患者报到信息，有已报到、未报到状态提示；</w:t>
            </w:r>
          </w:p>
          <w:p>
            <w:pPr>
              <w:pStyle w:val="74"/>
              <w:numPr>
                <w:ilvl w:val="0"/>
                <w:numId w:val="10"/>
              </w:numPr>
              <w:spacing w:after="0" w:line="276" w:lineRule="auto"/>
              <w:ind w:left="460" w:hanging="581"/>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支持获取影像科室业务系统检查患者叫号信息，有已叫号、未叫号状态提示；</w:t>
            </w:r>
          </w:p>
          <w:p>
            <w:pPr>
              <w:pStyle w:val="74"/>
              <w:numPr>
                <w:ilvl w:val="0"/>
                <w:numId w:val="10"/>
              </w:numPr>
              <w:spacing w:after="0" w:line="276" w:lineRule="auto"/>
              <w:ind w:left="460" w:hanging="581"/>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支持获取影像业务系统中检查患者检查结束状态</w:t>
            </w:r>
          </w:p>
          <w:p>
            <w:pPr>
              <w:pStyle w:val="74"/>
              <w:spacing w:after="0" w:line="276" w:lineRule="auto"/>
              <w:ind w:left="460"/>
              <w:rPr>
                <w:rFonts w:hint="eastAsia" w:ascii="宋体" w:hAnsi="宋体" w:eastAsia="宋体" w:cstheme="minorBidi"/>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shd w:val="clear" w:color="auto" w:fill="auto"/>
            <w:vAlign w:val="center"/>
          </w:tcPr>
          <w:p>
            <w:pPr>
              <w:spacing w:line="276" w:lineRule="auto"/>
              <w:ind w:right="63"/>
              <w:rPr>
                <w:rFonts w:ascii="宋体" w:hAnsi="宋体" w:eastAsia="宋体" w:cstheme="minorBidi"/>
                <w:color w:val="000000" w:themeColor="text1"/>
                <w:szCs w:val="21"/>
              </w:rPr>
            </w:pPr>
            <w:r>
              <w:rPr>
                <w:rFonts w:hint="eastAsia" w:ascii="宋体" w:hAnsi="宋体" w:eastAsia="宋体" w:cstheme="minorBidi"/>
                <w:color w:val="000000" w:themeColor="text1"/>
                <w:szCs w:val="21"/>
              </w:rPr>
              <w:t>3</w:t>
            </w:r>
            <w:r>
              <w:rPr>
                <w:rFonts w:ascii="宋体" w:hAnsi="宋体" w:eastAsia="宋体" w:cstheme="minorBidi"/>
                <w:color w:val="000000" w:themeColor="text1"/>
                <w:szCs w:val="21"/>
              </w:rPr>
              <w:t>.</w:t>
            </w:r>
            <w:r>
              <w:rPr>
                <w:rFonts w:hint="eastAsia" w:ascii="宋体" w:hAnsi="宋体" w:eastAsia="宋体" w:cstheme="minorBidi"/>
                <w:color w:val="000000" w:themeColor="text1"/>
                <w:szCs w:val="21"/>
              </w:rPr>
              <w:t>3</w:t>
            </w:r>
            <w:r>
              <w:rPr>
                <w:rFonts w:hint="eastAsia" w:ascii="宋体" w:hAnsi="宋体" w:eastAsia="宋体" w:cs="仿宋"/>
                <w:bCs/>
                <w:color w:val="000000" w:themeColor="text1"/>
                <w:szCs w:val="21"/>
              </w:rPr>
              <w:t>检查患者指引信息发布</w:t>
            </w:r>
          </w:p>
        </w:tc>
        <w:tc>
          <w:tcPr>
            <w:tcW w:w="3125" w:type="pct"/>
            <w:shd w:val="clear" w:color="auto" w:fill="auto"/>
            <w:vAlign w:val="center"/>
          </w:tcPr>
          <w:p>
            <w:pPr>
              <w:pStyle w:val="74"/>
              <w:numPr>
                <w:ilvl w:val="0"/>
                <w:numId w:val="11"/>
              </w:numPr>
              <w:spacing w:after="0" w:line="276" w:lineRule="auto"/>
              <w:ind w:left="461" w:leftChars="-67" w:hanging="602" w:hangingChars="287"/>
              <w:rPr>
                <w:rFonts w:ascii="宋体" w:hAnsi="宋体" w:eastAsia="宋体" w:cstheme="minorBidi"/>
                <w:color w:val="000000" w:themeColor="text1"/>
                <w:szCs w:val="21"/>
              </w:rPr>
            </w:pPr>
            <w:r>
              <w:rPr>
                <w:rFonts w:hint="eastAsia" w:ascii="宋体" w:hAnsi="宋体" w:eastAsia="宋体" w:cstheme="minorBidi"/>
                <w:color w:val="000000" w:themeColor="text1"/>
                <w:szCs w:val="21"/>
              </w:rPr>
              <w:t>▲患者检查结束后，系统在各个检查室引导屏幕显示在患者检查信息，对普通检查患者提示是否可以即使离开，对增强检查患者显示检后观察时间信息（提供完成检查后指引屏界面截图）；</w:t>
            </w:r>
          </w:p>
          <w:p>
            <w:pPr>
              <w:pStyle w:val="74"/>
              <w:numPr>
                <w:ilvl w:val="0"/>
                <w:numId w:val="11"/>
              </w:numPr>
              <w:spacing w:after="0" w:line="276" w:lineRule="auto"/>
              <w:ind w:left="461" w:leftChars="-67" w:hanging="602" w:hangingChars="28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支持在引导屏幕显示等候区</w:t>
            </w:r>
            <w:r>
              <w:rPr>
                <w:rFonts w:ascii="宋体" w:hAnsi="宋体" w:eastAsia="宋体" w:cstheme="minorBidi"/>
                <w:color w:val="000000" w:themeColor="text1"/>
                <w:szCs w:val="21"/>
              </w:rPr>
              <w:t>/</w:t>
            </w:r>
            <w:r>
              <w:rPr>
                <w:rFonts w:hint="eastAsia" w:ascii="宋体" w:hAnsi="宋体" w:eastAsia="宋体" w:cstheme="minorBidi"/>
                <w:color w:val="000000" w:themeColor="text1"/>
                <w:szCs w:val="21"/>
              </w:rPr>
              <w:t>观察区指引；</w:t>
            </w:r>
          </w:p>
          <w:p>
            <w:pPr>
              <w:pStyle w:val="74"/>
              <w:numPr>
                <w:ilvl w:val="0"/>
                <w:numId w:val="11"/>
              </w:numPr>
              <w:spacing w:after="0" w:line="276" w:lineRule="auto"/>
              <w:ind w:left="461" w:leftChars="-67" w:hanging="602" w:hangingChars="287"/>
              <w:rPr>
                <w:rFonts w:ascii="宋体" w:hAnsi="宋体" w:eastAsia="宋体" w:cstheme="minorBidi"/>
                <w:color w:val="000000" w:themeColor="text1"/>
                <w:szCs w:val="21"/>
              </w:rPr>
            </w:pPr>
            <w:r>
              <w:rPr>
                <w:rFonts w:hint="eastAsia" w:ascii="宋体" w:hAnsi="宋体" w:eastAsia="宋体" w:cstheme="minorBidi"/>
                <w:color w:val="000000" w:themeColor="text1"/>
                <w:szCs w:val="21"/>
              </w:rPr>
              <w:t>▲系统在等候区引导屏幕显示总体增强患者检查信息和检后观察时间信息（提供观察时间信息显示界面截图）；</w:t>
            </w:r>
          </w:p>
          <w:p>
            <w:pPr>
              <w:pStyle w:val="74"/>
              <w:numPr>
                <w:ilvl w:val="0"/>
                <w:numId w:val="11"/>
              </w:numPr>
              <w:spacing w:after="0" w:line="276" w:lineRule="auto"/>
              <w:ind w:left="461" w:leftChars="-67" w:hanging="602" w:hangingChars="287"/>
              <w:rPr>
                <w:rFonts w:ascii="宋体" w:hAnsi="宋体" w:eastAsia="宋体" w:cstheme="minorBidi"/>
                <w:color w:val="000000" w:themeColor="text1"/>
                <w:szCs w:val="21"/>
              </w:rPr>
            </w:pPr>
            <w:r>
              <w:rPr>
                <w:rFonts w:hint="eastAsia" w:ascii="宋体" w:hAnsi="宋体" w:eastAsia="宋体" w:cstheme="minorBidi"/>
                <w:color w:val="000000" w:themeColor="text1"/>
                <w:szCs w:val="21"/>
              </w:rPr>
              <w:t>在检查观察时间到达设定值后，提示增强检查患者到准备室进行处置工作。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shd w:val="clear" w:color="auto" w:fill="auto"/>
            <w:vAlign w:val="center"/>
          </w:tcPr>
          <w:p>
            <w:pPr>
              <w:spacing w:line="276" w:lineRule="auto"/>
              <w:ind w:right="63"/>
              <w:rPr>
                <w:rFonts w:ascii="宋体" w:hAnsi="宋体" w:eastAsia="宋体" w:cstheme="minorBidi"/>
                <w:color w:val="000000" w:themeColor="text1"/>
                <w:szCs w:val="21"/>
              </w:rPr>
            </w:pPr>
            <w:r>
              <w:rPr>
                <w:rFonts w:hint="eastAsia" w:ascii="宋体" w:hAnsi="宋体" w:eastAsia="宋体" w:cstheme="minorBidi"/>
                <w:color w:val="000000" w:themeColor="text1"/>
                <w:szCs w:val="21"/>
              </w:rPr>
              <w:t>3.4增强患者准备管理</w:t>
            </w:r>
          </w:p>
        </w:tc>
        <w:tc>
          <w:tcPr>
            <w:tcW w:w="3125" w:type="pct"/>
            <w:shd w:val="clear" w:color="auto" w:fill="auto"/>
            <w:vAlign w:val="center"/>
          </w:tcPr>
          <w:p>
            <w:pPr>
              <w:pStyle w:val="74"/>
              <w:numPr>
                <w:ilvl w:val="0"/>
                <w:numId w:val="12"/>
              </w:numPr>
              <w:spacing w:after="0" w:line="276" w:lineRule="auto"/>
              <w:ind w:left="459" w:leftChars="-57" w:hanging="579" w:hangingChars="276"/>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支持在内网工作站登录管理端；</w:t>
            </w:r>
          </w:p>
          <w:p>
            <w:pPr>
              <w:pStyle w:val="74"/>
              <w:numPr>
                <w:ilvl w:val="0"/>
                <w:numId w:val="12"/>
              </w:numPr>
              <w:spacing w:after="0" w:line="276" w:lineRule="auto"/>
              <w:ind w:left="459" w:leftChars="-57" w:hanging="579" w:hangingChars="276"/>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支持登录人员身份快捷切换；</w:t>
            </w:r>
          </w:p>
          <w:p>
            <w:pPr>
              <w:pStyle w:val="74"/>
              <w:numPr>
                <w:ilvl w:val="0"/>
                <w:numId w:val="12"/>
              </w:numPr>
              <w:spacing w:after="0" w:line="276" w:lineRule="auto"/>
              <w:ind w:left="459" w:leftChars="-57" w:hanging="579" w:hangingChars="276"/>
              <w:rPr>
                <w:rFonts w:ascii="宋体" w:hAnsi="宋体" w:eastAsia="宋体" w:cstheme="minorBidi"/>
                <w:color w:val="000000" w:themeColor="text1"/>
                <w:szCs w:val="21"/>
              </w:rPr>
            </w:pPr>
            <w:r>
              <w:rPr>
                <w:rFonts w:hint="eastAsia" w:ascii="宋体" w:hAnsi="宋体" w:eastAsia="宋体" w:cstheme="minorBidi"/>
                <w:color w:val="000000" w:themeColor="text1"/>
                <w:szCs w:val="21"/>
              </w:rPr>
              <w:t>可查看当日增强检查患者预约情况，包括预约时间、预约检查类型、预约检查项目；</w:t>
            </w:r>
          </w:p>
          <w:p>
            <w:pPr>
              <w:pStyle w:val="74"/>
              <w:numPr>
                <w:ilvl w:val="0"/>
                <w:numId w:val="12"/>
              </w:numPr>
              <w:spacing w:after="0" w:line="276" w:lineRule="auto"/>
              <w:ind w:left="459" w:leftChars="-57" w:hanging="579" w:hangingChars="276"/>
              <w:rPr>
                <w:rFonts w:ascii="宋体" w:hAnsi="宋体" w:eastAsia="宋体" w:cstheme="minorBidi"/>
                <w:color w:val="000000" w:themeColor="text1"/>
                <w:szCs w:val="21"/>
              </w:rPr>
            </w:pPr>
            <w:r>
              <w:rPr>
                <w:rFonts w:hint="eastAsia" w:ascii="宋体" w:hAnsi="宋体" w:eastAsia="宋体" w:cstheme="minorBidi"/>
                <w:color w:val="000000" w:themeColor="text1"/>
                <w:szCs w:val="21"/>
              </w:rPr>
              <w:t>系统从医院</w:t>
            </w:r>
            <w:r>
              <w:rPr>
                <w:rFonts w:ascii="宋体" w:hAnsi="宋体" w:eastAsia="宋体" w:cstheme="minorBidi"/>
                <w:color w:val="000000" w:themeColor="text1"/>
                <w:szCs w:val="21"/>
              </w:rPr>
              <w:t>HIS</w:t>
            </w:r>
            <w:r>
              <w:rPr>
                <w:rFonts w:hint="eastAsia" w:ascii="宋体" w:hAnsi="宋体" w:eastAsia="宋体" w:cstheme="minorBidi"/>
                <w:color w:val="000000" w:themeColor="text1"/>
                <w:szCs w:val="21"/>
              </w:rPr>
              <w:t>系统自动抓取增强检查患者的主诉、过敏史，最近一次肾功能检查，甲状腺功能检查信息，并显示在内网工作站管理端。</w:t>
            </w:r>
          </w:p>
          <w:p>
            <w:pPr>
              <w:pStyle w:val="74"/>
              <w:numPr>
                <w:ilvl w:val="0"/>
                <w:numId w:val="12"/>
              </w:numPr>
              <w:spacing w:after="0" w:line="276" w:lineRule="auto"/>
              <w:ind w:left="459" w:leftChars="-57" w:hanging="579" w:hangingChars="276"/>
              <w:rPr>
                <w:rFonts w:ascii="宋体" w:hAnsi="宋体" w:eastAsia="宋体" w:cstheme="minorBidi"/>
                <w:color w:val="000000" w:themeColor="text1"/>
                <w:szCs w:val="21"/>
              </w:rPr>
            </w:pPr>
            <w:r>
              <w:rPr>
                <w:rFonts w:hint="eastAsia" w:ascii="宋体" w:hAnsi="宋体" w:eastAsia="宋体" w:cstheme="minorBidi"/>
                <w:color w:val="000000" w:themeColor="text1"/>
                <w:szCs w:val="21"/>
              </w:rPr>
              <w:t>增强检查患者异常提示：如患者具有明显过敏史，系统可发出警报提示；根据关键检验值异常判断，如患者有肾功能异常、甲状腺功能异常，系统可发出警报提示，并展示规范预案及规范流程文档帮助护士处理。</w:t>
            </w:r>
          </w:p>
          <w:p>
            <w:pPr>
              <w:pStyle w:val="74"/>
              <w:numPr>
                <w:ilvl w:val="0"/>
                <w:numId w:val="12"/>
              </w:numPr>
              <w:spacing w:after="0" w:line="276" w:lineRule="auto"/>
              <w:ind w:left="459" w:leftChars="-57" w:hanging="579" w:hangingChars="276"/>
              <w:rPr>
                <w:rFonts w:ascii="宋体" w:hAnsi="宋体" w:eastAsia="宋体" w:cstheme="minorBidi"/>
                <w:color w:val="000000" w:themeColor="text1"/>
                <w:szCs w:val="21"/>
              </w:rPr>
            </w:pPr>
            <w:r>
              <w:rPr>
                <w:rFonts w:hint="eastAsia" w:ascii="宋体" w:hAnsi="宋体" w:eastAsia="宋体" w:cstheme="minorBidi"/>
                <w:color w:val="000000" w:themeColor="text1"/>
                <w:szCs w:val="21"/>
              </w:rPr>
              <w:t>▲可查看当日增强检查患者叫号后准备列表，列表分类包含已叫号、已置针、已检查（观察中）、已拔针、超时等（提供增强患者准备管理查询列表界面截图）。</w:t>
            </w:r>
          </w:p>
          <w:p>
            <w:pPr>
              <w:pStyle w:val="74"/>
              <w:numPr>
                <w:ilvl w:val="0"/>
                <w:numId w:val="12"/>
              </w:numPr>
              <w:spacing w:after="0" w:line="276" w:lineRule="auto"/>
              <w:ind w:left="459" w:leftChars="-57" w:hanging="579" w:hangingChars="276"/>
              <w:rPr>
                <w:rFonts w:ascii="宋体" w:hAnsi="宋体" w:eastAsia="宋体" w:cstheme="minorBidi"/>
                <w:color w:val="000000" w:themeColor="text1"/>
                <w:szCs w:val="21"/>
              </w:rPr>
            </w:pPr>
            <w:r>
              <w:rPr>
                <w:rFonts w:hint="eastAsia" w:ascii="宋体" w:hAnsi="宋体" w:eastAsia="宋体" w:cstheme="minorBidi"/>
                <w:color w:val="000000" w:themeColor="text1"/>
                <w:szCs w:val="21"/>
              </w:rPr>
              <w:t>可对患者列表进行快捷搜索，包括患者检查号搜索、姓名搜索；</w:t>
            </w:r>
          </w:p>
          <w:p>
            <w:pPr>
              <w:pStyle w:val="74"/>
              <w:numPr>
                <w:ilvl w:val="0"/>
                <w:numId w:val="12"/>
              </w:numPr>
              <w:spacing w:after="0" w:line="276" w:lineRule="auto"/>
              <w:ind w:left="459" w:leftChars="-57" w:hanging="579" w:hangingChars="276"/>
              <w:rPr>
                <w:rFonts w:ascii="宋体" w:hAnsi="宋体" w:eastAsia="宋体" w:cstheme="minorBidi"/>
                <w:color w:val="000000" w:themeColor="text1"/>
                <w:szCs w:val="21"/>
              </w:rPr>
            </w:pPr>
            <w:r>
              <w:rPr>
                <w:rFonts w:hint="eastAsia" w:ascii="宋体" w:hAnsi="宋体" w:eastAsia="宋体" w:cstheme="minorBidi"/>
                <w:color w:val="000000" w:themeColor="text1"/>
                <w:szCs w:val="21"/>
              </w:rPr>
              <w:t>可对患者列表进行排序方式选择，包括按时间排序、姓名拼音排序；</w:t>
            </w:r>
          </w:p>
          <w:p>
            <w:pPr>
              <w:pStyle w:val="74"/>
              <w:numPr>
                <w:ilvl w:val="0"/>
                <w:numId w:val="12"/>
              </w:numPr>
              <w:spacing w:after="0" w:line="276" w:lineRule="auto"/>
              <w:ind w:left="459" w:leftChars="-57" w:hanging="579" w:hangingChars="276"/>
              <w:rPr>
                <w:rFonts w:ascii="宋体" w:hAnsi="宋体" w:eastAsia="宋体" w:cstheme="minorBidi"/>
                <w:color w:val="000000" w:themeColor="text1"/>
                <w:szCs w:val="21"/>
              </w:rPr>
            </w:pPr>
            <w:r>
              <w:rPr>
                <w:rFonts w:hint="eastAsia" w:ascii="宋体" w:hAnsi="宋体" w:eastAsia="宋体" w:cstheme="minorBidi"/>
                <w:color w:val="000000" w:themeColor="text1"/>
                <w:szCs w:val="21"/>
              </w:rPr>
              <w:t>可选择增强患者列表进行相应准备信息录入，包括留置针置入时间、拔针时间、过敏信息、急救记录等；</w:t>
            </w:r>
          </w:p>
          <w:p>
            <w:pPr>
              <w:pStyle w:val="74"/>
              <w:numPr>
                <w:ilvl w:val="0"/>
                <w:numId w:val="12"/>
              </w:numPr>
              <w:spacing w:after="0" w:line="276" w:lineRule="auto"/>
              <w:ind w:left="460" w:leftChars="-51" w:hanging="567" w:hangingChars="270"/>
              <w:rPr>
                <w:rFonts w:ascii="宋体" w:hAnsi="宋体" w:eastAsia="宋体" w:cstheme="minorBidi"/>
                <w:color w:val="000000" w:themeColor="text1"/>
                <w:szCs w:val="21"/>
              </w:rPr>
            </w:pPr>
            <w:r>
              <w:rPr>
                <w:rFonts w:hint="eastAsia" w:ascii="宋体" w:hAnsi="宋体" w:eastAsia="宋体" w:cstheme="minorBidi"/>
                <w:color w:val="000000" w:themeColor="text1"/>
                <w:szCs w:val="21"/>
              </w:rPr>
              <w:t>可查看当日工作情况，如已留置针已置入人数、已拔针人数、未拔针、超时拔针人数情况等。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780" w:type="pct"/>
            <w:vMerge w:val="restart"/>
            <w:shd w:val="clear" w:color="auto" w:fill="auto"/>
            <w:vAlign w:val="center"/>
          </w:tcPr>
          <w:p>
            <w:pPr>
              <w:spacing w:line="276" w:lineRule="auto"/>
              <w:ind w:left="63" w:right="63"/>
              <w:rPr>
                <w:rFonts w:ascii="宋体" w:hAnsi="宋体" w:eastAsia="宋体" w:cs="仿宋"/>
                <w:bCs/>
                <w:color w:val="000000" w:themeColor="text1"/>
                <w:szCs w:val="21"/>
              </w:rPr>
            </w:pPr>
            <w:r>
              <w:rPr>
                <w:rFonts w:hint="eastAsia" w:ascii="宋体" w:hAnsi="宋体" w:eastAsia="宋体" w:cs="仿宋"/>
                <w:bCs/>
                <w:color w:val="000000" w:themeColor="text1"/>
                <w:szCs w:val="21"/>
              </w:rPr>
              <w:t>4.影像检查对比剂智能发放系统模块</w:t>
            </w:r>
          </w:p>
        </w:tc>
        <w:tc>
          <w:tcPr>
            <w:tcW w:w="1095" w:type="pct"/>
            <w:shd w:val="clear" w:color="auto" w:fill="auto"/>
            <w:vAlign w:val="center"/>
          </w:tcPr>
          <w:p>
            <w:pPr>
              <w:spacing w:line="276" w:lineRule="auto"/>
              <w:ind w:right="63"/>
              <w:rPr>
                <w:rFonts w:ascii="宋体" w:hAnsi="宋体" w:eastAsia="宋体" w:cstheme="minorBidi"/>
                <w:color w:val="000000" w:themeColor="text1"/>
                <w:szCs w:val="21"/>
              </w:rPr>
            </w:pPr>
            <w:r>
              <w:rPr>
                <w:rFonts w:hint="eastAsia" w:ascii="宋体" w:hAnsi="宋体" w:eastAsia="宋体" w:cstheme="minorBidi"/>
                <w:color w:val="000000" w:themeColor="text1"/>
                <w:szCs w:val="21"/>
              </w:rPr>
              <w:t>4.2系统功能要求</w:t>
            </w:r>
          </w:p>
        </w:tc>
        <w:tc>
          <w:tcPr>
            <w:tcW w:w="3125" w:type="pct"/>
            <w:shd w:val="clear" w:color="auto" w:fill="auto"/>
            <w:vAlign w:val="center"/>
          </w:tcPr>
          <w:p>
            <w:pPr>
              <w:spacing w:after="0" w:line="276" w:lineRule="auto"/>
              <w:rPr>
                <w:rFonts w:ascii="宋体" w:hAnsi="宋体" w:eastAsiaTheme="minorEastAsia" w:cstheme="minorBidi"/>
                <w:color w:val="000000" w:themeColor="text1"/>
                <w:szCs w:val="21"/>
              </w:rPr>
            </w:pPr>
          </w:p>
          <w:p>
            <w:pPr>
              <w:spacing w:after="0" w:line="276" w:lineRule="auto"/>
              <w:rPr>
                <w:rFonts w:ascii="宋体" w:hAnsi="宋体" w:eastAsiaTheme="minorEastAsia" w:cstheme="minorBidi"/>
                <w:color w:val="000000" w:themeColor="text1"/>
                <w:szCs w:val="21"/>
              </w:rPr>
            </w:pPr>
          </w:p>
          <w:p>
            <w:pPr>
              <w:spacing w:after="0" w:line="276" w:lineRule="auto"/>
              <w:rPr>
                <w:rFonts w:hint="eastAsia" w:ascii="宋体" w:hAnsi="宋体" w:eastAsiaTheme="minorEastAsia" w:cstheme="minorBidi"/>
                <w:color w:val="000000" w:themeColor="text1"/>
                <w:szCs w:val="21"/>
              </w:rPr>
            </w:pPr>
          </w:p>
          <w:p>
            <w:pPr>
              <w:pStyle w:val="74"/>
              <w:numPr>
                <w:ilvl w:val="0"/>
                <w:numId w:val="13"/>
              </w:numPr>
              <w:spacing w:after="0" w:line="276" w:lineRule="auto"/>
              <w:ind w:left="461"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支持根据技术人员扫码或程序控制</w:t>
            </w:r>
            <w:r>
              <w:rPr>
                <w:rFonts w:ascii="宋体" w:hAnsi="宋体" w:eastAsia="宋体" w:cstheme="minorBidi"/>
                <w:color w:val="000000" w:themeColor="text1"/>
                <w:szCs w:val="21"/>
              </w:rPr>
              <w:t>/</w:t>
            </w:r>
            <w:r>
              <w:rPr>
                <w:rFonts w:hint="eastAsia" w:ascii="宋体" w:hAnsi="宋体" w:eastAsia="宋体" w:cstheme="minorBidi"/>
                <w:color w:val="000000" w:themeColor="text1"/>
                <w:szCs w:val="21"/>
              </w:rPr>
              <w:t>触发操作自动打开对比剂智能发放柜；</w:t>
            </w:r>
          </w:p>
          <w:p>
            <w:pPr>
              <w:pStyle w:val="74"/>
              <w:numPr>
                <w:ilvl w:val="0"/>
                <w:numId w:val="13"/>
              </w:numPr>
              <w:spacing w:after="0" w:line="276" w:lineRule="auto"/>
              <w:ind w:left="461"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支持根据医嘱中对比剂类型、品牌打开相应对比剂所在货架，或在整体货架中给与位置提示；</w:t>
            </w:r>
          </w:p>
          <w:p>
            <w:pPr>
              <w:pStyle w:val="74"/>
              <w:numPr>
                <w:ilvl w:val="0"/>
                <w:numId w:val="13"/>
              </w:numPr>
              <w:spacing w:after="0" w:line="276" w:lineRule="auto"/>
              <w:ind w:left="461"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支持利用视觉识别或重力感应技术，识别每次取用对比剂的类型、品牌和数量；</w:t>
            </w:r>
          </w:p>
          <w:p>
            <w:pPr>
              <w:pStyle w:val="74"/>
              <w:numPr>
                <w:ilvl w:val="0"/>
                <w:numId w:val="13"/>
              </w:numPr>
              <w:spacing w:after="0" w:line="276" w:lineRule="auto"/>
              <w:ind w:left="461"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支持多种类、多品牌对比剂存储和发放功能；</w:t>
            </w:r>
          </w:p>
          <w:p>
            <w:pPr>
              <w:pStyle w:val="74"/>
              <w:numPr>
                <w:ilvl w:val="0"/>
                <w:numId w:val="13"/>
              </w:numPr>
              <w:spacing w:after="0" w:line="276" w:lineRule="auto"/>
              <w:ind w:left="461"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无需另付软件或算法识别成本。</w:t>
            </w:r>
          </w:p>
          <w:p>
            <w:pPr>
              <w:spacing w:after="0" w:line="276" w:lineRule="auto"/>
              <w:rPr>
                <w:rFonts w:ascii="宋体" w:hAnsi="宋体" w:eastAsiaTheme="minorEastAsia" w:cstheme="minorBidi"/>
                <w:color w:val="000000" w:themeColor="text1"/>
                <w:szCs w:val="21"/>
              </w:rPr>
            </w:pPr>
          </w:p>
          <w:p>
            <w:pPr>
              <w:spacing w:after="0" w:line="276" w:lineRule="auto"/>
              <w:rPr>
                <w:rFonts w:hint="eastAsia" w:ascii="宋体" w:hAnsi="宋体" w:eastAsiaTheme="minorEastAsia" w:cstheme="minorBidi"/>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shd w:val="clear" w:color="auto" w:fill="auto"/>
            <w:vAlign w:val="center"/>
          </w:tcPr>
          <w:p>
            <w:pPr>
              <w:spacing w:line="276" w:lineRule="auto"/>
              <w:ind w:right="63"/>
              <w:rPr>
                <w:rFonts w:ascii="宋体" w:hAnsi="宋体" w:eastAsia="宋体" w:cstheme="minorBidi"/>
                <w:color w:val="000000" w:themeColor="text1"/>
                <w:szCs w:val="21"/>
              </w:rPr>
            </w:pPr>
            <w:r>
              <w:rPr>
                <w:rFonts w:hint="eastAsia" w:ascii="宋体" w:hAnsi="宋体" w:eastAsia="宋体" w:cstheme="minorBidi"/>
                <w:color w:val="000000" w:themeColor="text1"/>
                <w:szCs w:val="21"/>
              </w:rPr>
              <w:t>4.3管理端功能要求</w:t>
            </w:r>
          </w:p>
        </w:tc>
        <w:tc>
          <w:tcPr>
            <w:tcW w:w="3125" w:type="pct"/>
            <w:shd w:val="clear" w:color="auto" w:fill="auto"/>
            <w:vAlign w:val="center"/>
          </w:tcPr>
          <w:p>
            <w:pPr>
              <w:pStyle w:val="74"/>
              <w:numPr>
                <w:ilvl w:val="0"/>
                <w:numId w:val="14"/>
              </w:numPr>
              <w:spacing w:after="0" w:line="276" w:lineRule="auto"/>
              <w:ind w:left="461"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支持在内网工作站登录管理端</w:t>
            </w:r>
          </w:p>
          <w:p>
            <w:pPr>
              <w:pStyle w:val="74"/>
              <w:numPr>
                <w:ilvl w:val="0"/>
                <w:numId w:val="14"/>
              </w:numPr>
              <w:spacing w:after="0" w:line="276" w:lineRule="auto"/>
              <w:ind w:left="461"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支持对比剂取用人员、对比剂种类、品牌、名称和取用数量情况列表；</w:t>
            </w:r>
          </w:p>
          <w:p>
            <w:pPr>
              <w:pStyle w:val="74"/>
              <w:numPr>
                <w:ilvl w:val="0"/>
                <w:numId w:val="14"/>
              </w:numPr>
              <w:spacing w:after="0" w:line="276" w:lineRule="auto"/>
              <w:ind w:left="461"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支持列表筛选取用人员，对比剂种类、品牌；</w:t>
            </w:r>
          </w:p>
          <w:p>
            <w:pPr>
              <w:pStyle w:val="74"/>
              <w:numPr>
                <w:ilvl w:val="0"/>
                <w:numId w:val="14"/>
              </w:numPr>
              <w:spacing w:after="0" w:line="276" w:lineRule="auto"/>
              <w:ind w:left="461"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支持在内网工作站查看对比剂取用统计情况；</w:t>
            </w:r>
          </w:p>
          <w:p>
            <w:pPr>
              <w:pStyle w:val="74"/>
              <w:numPr>
                <w:ilvl w:val="0"/>
                <w:numId w:val="14"/>
              </w:numPr>
              <w:spacing w:after="0" w:line="276" w:lineRule="auto"/>
              <w:ind w:left="461"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支持统计数据导出表格；</w:t>
            </w:r>
          </w:p>
          <w:p>
            <w:pPr>
              <w:pStyle w:val="74"/>
              <w:numPr>
                <w:ilvl w:val="0"/>
                <w:numId w:val="14"/>
              </w:numPr>
              <w:spacing w:after="0" w:line="276" w:lineRule="auto"/>
              <w:ind w:left="461"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可设定对比剂入库记录，包括对比剂种类、品牌、名称、规格、数量；</w:t>
            </w:r>
          </w:p>
          <w:p>
            <w:pPr>
              <w:pStyle w:val="74"/>
              <w:numPr>
                <w:ilvl w:val="0"/>
                <w:numId w:val="14"/>
              </w:numPr>
              <w:spacing w:after="0" w:line="276" w:lineRule="auto"/>
              <w:ind w:left="461"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支持库存情况展示，包括库存剩余情况等；</w:t>
            </w:r>
          </w:p>
          <w:p>
            <w:pPr>
              <w:pStyle w:val="74"/>
              <w:numPr>
                <w:ilvl w:val="0"/>
                <w:numId w:val="14"/>
              </w:numPr>
              <w:spacing w:after="0" w:line="276" w:lineRule="auto"/>
              <w:ind w:left="461" w:hanging="567"/>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支持库存预警提醒，可设定提醒最低值。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restart"/>
            <w:shd w:val="clear" w:color="auto" w:fill="auto"/>
            <w:vAlign w:val="center"/>
          </w:tcPr>
          <w:p>
            <w:pPr>
              <w:spacing w:line="276" w:lineRule="auto"/>
              <w:ind w:left="63" w:right="63"/>
              <w:rPr>
                <w:rFonts w:ascii="宋体" w:hAnsi="宋体" w:eastAsia="宋体" w:cs="仿宋"/>
                <w:bCs/>
                <w:color w:val="000000" w:themeColor="text1"/>
                <w:szCs w:val="21"/>
              </w:rPr>
            </w:pPr>
            <w:r>
              <w:rPr>
                <w:rFonts w:hint="eastAsia" w:asciiTheme="minorEastAsia" w:hAnsiTheme="minorEastAsia" w:eastAsiaTheme="minorEastAsia" w:cstheme="minorBidi"/>
                <w:color w:val="000000" w:themeColor="text1"/>
                <w:szCs w:val="21"/>
              </w:rPr>
              <w:t>★</w:t>
            </w:r>
            <w:r>
              <w:rPr>
                <w:rFonts w:hint="eastAsia" w:ascii="宋体" w:hAnsi="宋体" w:eastAsia="宋体" w:cs="仿宋"/>
                <w:bCs/>
                <w:color w:val="000000" w:themeColor="text1"/>
                <w:szCs w:val="21"/>
              </w:rPr>
              <w:t>5.</w:t>
            </w:r>
            <w:r>
              <w:rPr>
                <w:rFonts w:hint="eastAsia" w:ascii="宋体" w:hAnsi="宋体" w:eastAsiaTheme="minorEastAsia" w:cstheme="minorBidi"/>
                <w:color w:val="000000" w:themeColor="text1"/>
                <w:szCs w:val="21"/>
              </w:rPr>
              <w:t>项目硬件与硬件合作研发（提供承诺函））</w:t>
            </w:r>
          </w:p>
        </w:tc>
        <w:tc>
          <w:tcPr>
            <w:tcW w:w="1095" w:type="pct"/>
            <w:vMerge w:val="restart"/>
            <w:shd w:val="clear" w:color="auto" w:fill="auto"/>
            <w:vAlign w:val="center"/>
          </w:tcPr>
          <w:p>
            <w:pPr>
              <w:spacing w:line="276" w:lineRule="auto"/>
              <w:ind w:right="63"/>
              <w:rPr>
                <w:rFonts w:ascii="宋体" w:hAnsi="宋体" w:eastAsia="宋体" w:cstheme="minorBidi"/>
                <w:color w:val="000000" w:themeColor="text1"/>
                <w:szCs w:val="21"/>
              </w:rPr>
            </w:pPr>
            <w:r>
              <w:rPr>
                <w:rFonts w:hint="eastAsia" w:ascii="宋体" w:hAnsi="宋体" w:eastAsia="宋体" w:cstheme="minorBidi"/>
                <w:color w:val="000000" w:themeColor="text1"/>
                <w:szCs w:val="21"/>
              </w:rPr>
              <w:t>5.1影像对比剂智能发放柜</w:t>
            </w:r>
          </w:p>
        </w:tc>
        <w:tc>
          <w:tcPr>
            <w:tcW w:w="3125" w:type="pct"/>
            <w:shd w:val="clear" w:color="auto" w:fill="auto"/>
            <w:vAlign w:val="center"/>
          </w:tcPr>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一体式内胆机箱；</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多层货架，可存储不同类型、品牌对比剂；</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支持视觉识别或重力感应模块；</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支持开门亮灯提示；</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网络连接：RJ45网络端口；</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不小于100L内部存储容量；</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支持恒温存储和至少15-30℃区间温度调节，适合对比剂人体温度使用；</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遮光设计，有效保护对比剂使用周期。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vMerge w:val="continue"/>
            <w:shd w:val="clear" w:color="auto" w:fill="auto"/>
            <w:vAlign w:val="center"/>
          </w:tcPr>
          <w:p>
            <w:pPr>
              <w:spacing w:line="276" w:lineRule="auto"/>
              <w:ind w:right="63"/>
              <w:rPr>
                <w:rFonts w:ascii="宋体" w:hAnsi="宋体" w:eastAsia="宋体" w:cstheme="minorBidi"/>
                <w:color w:val="000000" w:themeColor="text1"/>
                <w:szCs w:val="21"/>
              </w:rPr>
            </w:pPr>
          </w:p>
        </w:tc>
        <w:tc>
          <w:tcPr>
            <w:tcW w:w="3125" w:type="pct"/>
            <w:shd w:val="clear" w:color="auto" w:fill="auto"/>
            <w:vAlign w:val="center"/>
          </w:tcPr>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数量：12套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vMerge w:val="restart"/>
            <w:shd w:val="clear" w:color="auto" w:fill="auto"/>
            <w:vAlign w:val="center"/>
          </w:tcPr>
          <w:p>
            <w:pPr>
              <w:spacing w:line="276" w:lineRule="auto"/>
              <w:ind w:right="63"/>
              <w:rPr>
                <w:rFonts w:ascii="宋体" w:hAnsi="宋体" w:eastAsia="宋体" w:cstheme="minorBidi"/>
                <w:color w:val="000000" w:themeColor="text1"/>
                <w:szCs w:val="21"/>
              </w:rPr>
            </w:pPr>
            <w:r>
              <w:rPr>
                <w:rFonts w:hint="eastAsia" w:ascii="宋体" w:hAnsi="宋体" w:eastAsia="宋体" w:cstheme="minorBidi"/>
                <w:color w:val="000000" w:themeColor="text1"/>
                <w:szCs w:val="21"/>
              </w:rPr>
              <w:t>5.2指引屏幕</w:t>
            </w:r>
          </w:p>
        </w:tc>
        <w:tc>
          <w:tcPr>
            <w:tcW w:w="3125" w:type="pct"/>
            <w:shd w:val="clear" w:color="auto" w:fill="auto"/>
            <w:vAlign w:val="center"/>
          </w:tcPr>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显示屏规格：</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尺寸：21.5英寸</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背光类型：LED</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分辨率：1920×1080</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可视角度：89/89/89/89(L/R/U/D)</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颜色：16.7M</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亮度：250cd/m2</w:t>
            </w:r>
          </w:p>
          <w:p>
            <w:pPr>
              <w:spacing w:after="0" w:line="276" w:lineRule="auto"/>
              <w:rPr>
                <w:rFonts w:ascii="宋体" w:hAnsi="宋体" w:eastAsia="宋体" w:cstheme="minorBidi"/>
                <w:color w:val="000000" w:themeColor="text1"/>
                <w:szCs w:val="21"/>
              </w:rPr>
            </w:pPr>
            <w:r>
              <w:rPr>
                <w:rFonts w:hint="eastAsia" w:ascii="宋体" w:hAnsi="宋体" w:eastAsiaTheme="minorEastAsia" w:cstheme="minorBidi"/>
                <w:color w:val="000000" w:themeColor="text1"/>
                <w:szCs w:val="21"/>
              </w:rPr>
              <w:t>对比度：</w:t>
            </w:r>
            <w:r>
              <w:rPr>
                <w:rFonts w:ascii="宋体" w:hAnsi="宋体" w:eastAsiaTheme="minorEastAsia" w:cstheme="minorBidi"/>
                <w:color w:val="000000" w:themeColor="text1"/>
                <w:szCs w:val="21"/>
              </w:rPr>
              <w:t>1000:1</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CPU：≥四核CPU，主频率≥1.7Hz</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内存：4GB</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NAND FLASH：8GB</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网卡：100M网卡</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解码能力：支持全高清1080P视频解码</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支持WMV、AVI、FLV、MP4等格式视频解码</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支持BMP、JPEG、PNG、GIF等格式图片阅览</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网络支持：支持WiFi2.4G/蓝牙4.0</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网络连接：RJ45网络端口*1</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USB端口：USB端口*2</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操作系统：Android</w:t>
            </w:r>
          </w:p>
          <w:p>
            <w:pPr>
              <w:spacing w:after="0" w:line="276" w:lineRule="auto"/>
              <w:rPr>
                <w:rFonts w:ascii="宋体" w:hAnsi="宋体" w:eastAsia="宋体" w:cs="Calibri"/>
                <w:color w:val="000000" w:themeColor="text1"/>
                <w:szCs w:val="21"/>
              </w:rPr>
            </w:pPr>
            <w:r>
              <w:rPr>
                <w:rFonts w:hint="eastAsia" w:ascii="宋体" w:hAnsi="宋体" w:eastAsia="宋体" w:cstheme="minorBidi"/>
                <w:color w:val="000000" w:themeColor="text1"/>
                <w:szCs w:val="21"/>
              </w:rPr>
              <w:t>输入电压：</w:t>
            </w:r>
            <w:r>
              <w:rPr>
                <w:rFonts w:ascii="宋体" w:hAnsi="宋体" w:eastAsia="宋体" w:cs="Calibri"/>
                <w:color w:val="000000" w:themeColor="text1"/>
                <w:szCs w:val="21"/>
              </w:rPr>
              <w:t>AC100-220</w:t>
            </w:r>
            <w:r>
              <w:rPr>
                <w:rFonts w:hint="eastAsia" w:ascii="宋体" w:hAnsi="宋体" w:eastAsia="宋体" w:cs="Calibri"/>
                <w:color w:val="000000" w:themeColor="text1"/>
                <w:szCs w:val="21"/>
              </w:rPr>
              <w:t>V</w:t>
            </w:r>
            <w:r>
              <w:rPr>
                <w:rFonts w:ascii="宋体" w:hAnsi="宋体" w:eastAsia="宋体" w:cs="Calibri"/>
                <w:color w:val="000000" w:themeColor="text1"/>
                <w:szCs w:val="21"/>
              </w:rPr>
              <w:t xml:space="preserve"> 50/60Hz</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整机功率：≤28</w:t>
            </w:r>
            <w:r>
              <w:rPr>
                <w:rFonts w:ascii="宋体" w:hAnsi="宋体" w:eastAsia="宋体" w:cstheme="minorBidi"/>
                <w:color w:val="000000" w:themeColor="text1"/>
                <w:szCs w:val="21"/>
              </w:rPr>
              <w:t>W</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喇叭：2*5W</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安装方式：壁挂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vMerge w:val="continue"/>
            <w:shd w:val="clear" w:color="auto" w:fill="auto"/>
            <w:vAlign w:val="center"/>
          </w:tcPr>
          <w:p>
            <w:pPr>
              <w:spacing w:line="276" w:lineRule="auto"/>
              <w:ind w:right="63"/>
              <w:rPr>
                <w:rFonts w:ascii="宋体" w:hAnsi="宋体" w:eastAsia="宋体" w:cstheme="minorBidi"/>
                <w:color w:val="000000" w:themeColor="text1"/>
                <w:szCs w:val="21"/>
              </w:rPr>
            </w:pPr>
          </w:p>
        </w:tc>
        <w:tc>
          <w:tcPr>
            <w:tcW w:w="3125" w:type="pct"/>
            <w:shd w:val="clear" w:color="auto" w:fill="auto"/>
            <w:vAlign w:val="center"/>
          </w:tcPr>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数量：10套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vMerge w:val="restart"/>
            <w:shd w:val="clear" w:color="auto" w:fill="auto"/>
            <w:vAlign w:val="center"/>
          </w:tcPr>
          <w:p>
            <w:pPr>
              <w:spacing w:line="276" w:lineRule="auto"/>
              <w:ind w:right="63"/>
              <w:rPr>
                <w:rFonts w:ascii="宋体" w:hAnsi="宋体" w:eastAsia="宋体" w:cstheme="minorBidi"/>
                <w:color w:val="000000" w:themeColor="text1"/>
                <w:szCs w:val="21"/>
              </w:rPr>
            </w:pPr>
            <w:r>
              <w:rPr>
                <w:rFonts w:hint="eastAsia" w:ascii="宋体" w:hAnsi="宋体" w:eastAsia="宋体" w:cstheme="minorBidi"/>
                <w:color w:val="000000" w:themeColor="text1"/>
                <w:szCs w:val="21"/>
              </w:rPr>
              <w:t>5.3指引大屏幕</w:t>
            </w:r>
          </w:p>
        </w:tc>
        <w:tc>
          <w:tcPr>
            <w:tcW w:w="3125" w:type="pct"/>
            <w:shd w:val="clear" w:color="auto" w:fill="auto"/>
            <w:vAlign w:val="center"/>
          </w:tcPr>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显示屏规格：</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尺寸：55英寸</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背光类型：LED</w:t>
            </w:r>
          </w:p>
          <w:p>
            <w:pPr>
              <w:spacing w:after="0" w:line="276" w:lineRule="auto"/>
              <w:rPr>
                <w:rFonts w:ascii="宋体" w:hAnsi="宋体" w:eastAsia="宋体" w:cstheme="minorBidi"/>
                <w:color w:val="000000" w:themeColor="text1"/>
                <w:szCs w:val="21"/>
              </w:rPr>
            </w:pPr>
            <w:r>
              <w:rPr>
                <w:rFonts w:hint="eastAsia" w:ascii="宋体" w:hAnsi="宋体" w:eastAsiaTheme="minorEastAsia" w:cstheme="minorBidi"/>
                <w:color w:val="000000" w:themeColor="text1"/>
                <w:szCs w:val="21"/>
              </w:rPr>
              <w:t>分辨率：</w:t>
            </w:r>
            <w:r>
              <w:rPr>
                <w:rFonts w:ascii="宋体" w:hAnsi="宋体" w:eastAsiaTheme="minorEastAsia" w:cstheme="minorBidi"/>
                <w:color w:val="000000" w:themeColor="text1"/>
                <w:szCs w:val="21"/>
              </w:rPr>
              <w:t>3840x2160</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可视角度：89/89/89/89(L/R/U/D)</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颜色：16.7M</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亮度：350cd/m2</w:t>
            </w:r>
          </w:p>
          <w:p>
            <w:pPr>
              <w:spacing w:after="0" w:line="276" w:lineRule="auto"/>
              <w:rPr>
                <w:rFonts w:ascii="宋体" w:hAnsi="宋体" w:eastAsia="宋体" w:cstheme="minorBidi"/>
                <w:color w:val="000000" w:themeColor="text1"/>
                <w:szCs w:val="21"/>
              </w:rPr>
            </w:pPr>
            <w:r>
              <w:rPr>
                <w:rFonts w:hint="eastAsia" w:ascii="宋体" w:hAnsi="宋体" w:eastAsiaTheme="minorEastAsia" w:cstheme="minorBidi"/>
                <w:color w:val="000000" w:themeColor="text1"/>
                <w:szCs w:val="21"/>
              </w:rPr>
              <w:t>对比度：</w:t>
            </w:r>
            <w:r>
              <w:rPr>
                <w:rFonts w:ascii="宋体" w:hAnsi="宋体" w:eastAsiaTheme="minorEastAsia" w:cstheme="minorBidi"/>
                <w:color w:val="000000" w:themeColor="text1"/>
                <w:szCs w:val="21"/>
              </w:rPr>
              <w:t>3000:1</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CPU：≥六核CPU，主频率≥1.7Hz</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内存：8GB</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NAND FLASH：32GB</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网卡：100M网卡</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解码能力：支持全高清1080P视频解码</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支持WMV、AVI、FLV、MP4等格式视频解码</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支持BMP、JPEG、PNG、GIF等格式图片阅览</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网络连接：RJ45网络端口*1</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USB端口：USB端口*2</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操作系统：Android</w:t>
            </w:r>
          </w:p>
          <w:p>
            <w:pPr>
              <w:spacing w:after="0" w:line="276" w:lineRule="auto"/>
              <w:rPr>
                <w:rFonts w:ascii="宋体" w:hAnsi="宋体" w:eastAsia="宋体" w:cs="Calibri"/>
                <w:color w:val="000000" w:themeColor="text1"/>
                <w:szCs w:val="21"/>
              </w:rPr>
            </w:pPr>
            <w:r>
              <w:rPr>
                <w:rFonts w:hint="eastAsia" w:ascii="宋体" w:hAnsi="宋体" w:eastAsia="宋体" w:cstheme="minorBidi"/>
                <w:color w:val="000000" w:themeColor="text1"/>
                <w:szCs w:val="21"/>
              </w:rPr>
              <w:t>输入电压：</w:t>
            </w:r>
            <w:r>
              <w:rPr>
                <w:rFonts w:ascii="宋体" w:hAnsi="宋体" w:eastAsia="宋体" w:cs="Calibri"/>
                <w:color w:val="000000" w:themeColor="text1"/>
                <w:szCs w:val="21"/>
              </w:rPr>
              <w:t>AC100-220</w:t>
            </w:r>
            <w:r>
              <w:rPr>
                <w:rFonts w:hint="eastAsia" w:ascii="宋体" w:hAnsi="宋体" w:eastAsia="宋体" w:cs="Calibri"/>
                <w:color w:val="000000" w:themeColor="text1"/>
                <w:szCs w:val="21"/>
              </w:rPr>
              <w:t>V</w:t>
            </w:r>
            <w:r>
              <w:rPr>
                <w:rFonts w:ascii="宋体" w:hAnsi="宋体" w:eastAsia="宋体" w:cs="Calibri"/>
                <w:color w:val="000000" w:themeColor="text1"/>
                <w:szCs w:val="21"/>
              </w:rPr>
              <w:t xml:space="preserve"> 50/60Hz</w:t>
            </w:r>
          </w:p>
          <w:p>
            <w:pPr>
              <w:spacing w:after="0" w:line="276" w:lineRule="auto"/>
              <w:rPr>
                <w:rFonts w:ascii="宋体" w:hAnsi="宋体" w:eastAsia="宋体" w:cstheme="minorBidi"/>
                <w:color w:val="000000" w:themeColor="text1"/>
                <w:szCs w:val="21"/>
              </w:rPr>
            </w:pPr>
            <w:r>
              <w:rPr>
                <w:rFonts w:hint="eastAsia" w:ascii="宋体" w:hAnsi="宋体" w:eastAsiaTheme="minorEastAsia" w:cstheme="minorBidi"/>
                <w:color w:val="000000" w:themeColor="text1"/>
                <w:szCs w:val="21"/>
              </w:rPr>
              <w:t>整机功率：≤</w:t>
            </w:r>
            <w:r>
              <w:rPr>
                <w:rFonts w:ascii="宋体" w:hAnsi="宋体" w:eastAsiaTheme="minorEastAsia" w:cstheme="minorBidi"/>
                <w:color w:val="000000" w:themeColor="text1"/>
                <w:szCs w:val="21"/>
              </w:rPr>
              <w:t>120W</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喇叭：2*8W</w:t>
            </w:r>
          </w:p>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安装方式：壁挂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eastAsia="宋体" w:cs="仿宋"/>
                <w:bCs/>
                <w:color w:val="000000" w:themeColor="text1"/>
                <w:szCs w:val="21"/>
              </w:rPr>
            </w:pPr>
          </w:p>
        </w:tc>
        <w:tc>
          <w:tcPr>
            <w:tcW w:w="1095" w:type="pct"/>
            <w:vMerge w:val="continue"/>
            <w:shd w:val="clear" w:color="auto" w:fill="auto"/>
            <w:vAlign w:val="center"/>
          </w:tcPr>
          <w:p>
            <w:pPr>
              <w:spacing w:line="276" w:lineRule="auto"/>
              <w:ind w:right="63"/>
              <w:rPr>
                <w:rFonts w:ascii="宋体" w:hAnsi="宋体" w:eastAsia="宋体" w:cstheme="minorBidi"/>
                <w:color w:val="000000" w:themeColor="text1"/>
                <w:szCs w:val="21"/>
              </w:rPr>
            </w:pPr>
          </w:p>
        </w:tc>
        <w:tc>
          <w:tcPr>
            <w:tcW w:w="3125" w:type="pct"/>
            <w:shd w:val="clear" w:color="auto" w:fill="auto"/>
            <w:vAlign w:val="center"/>
          </w:tcPr>
          <w:p>
            <w:pPr>
              <w:spacing w:after="0" w:line="276" w:lineRule="auto"/>
              <w:rPr>
                <w:rFonts w:ascii="宋体" w:hAnsi="宋体" w:eastAsia="宋体" w:cstheme="minorBidi"/>
                <w:color w:val="000000" w:themeColor="text1"/>
                <w:szCs w:val="21"/>
              </w:rPr>
            </w:pPr>
            <w:r>
              <w:rPr>
                <w:rFonts w:hint="eastAsia" w:ascii="宋体" w:hAnsi="宋体" w:eastAsia="宋体" w:cstheme="minorBidi"/>
                <w:color w:val="000000" w:themeColor="text1"/>
                <w:szCs w:val="21"/>
              </w:rPr>
              <w:t>数量：5套</w:t>
            </w:r>
          </w:p>
        </w:tc>
      </w:tr>
    </w:tbl>
    <w:p>
      <w:pPr>
        <w:pStyle w:val="74"/>
        <w:numPr>
          <w:ilvl w:val="0"/>
          <w:numId w:val="2"/>
        </w:numPr>
        <w:spacing w:after="0" w:line="276" w:lineRule="auto"/>
        <w:contextualSpacing w:val="0"/>
        <w:rPr>
          <w:rFonts w:ascii="宋体" w:hAnsi="宋体"/>
          <w:b/>
          <w:bCs/>
          <w:kern w:val="44"/>
          <w:sz w:val="32"/>
          <w:szCs w:val="32"/>
        </w:rPr>
      </w:pPr>
      <w:r>
        <w:rPr>
          <w:rFonts w:hint="eastAsia" w:ascii="宋体" w:hAnsi="宋体"/>
          <w:b/>
          <w:bCs/>
          <w:kern w:val="44"/>
          <w:sz w:val="32"/>
          <w:szCs w:val="32"/>
        </w:rPr>
        <w:t>项目工期</w:t>
      </w:r>
    </w:p>
    <w:p>
      <w:pPr>
        <w:numPr>
          <w:ilvl w:val="0"/>
          <w:numId w:val="15"/>
        </w:numPr>
        <w:tabs>
          <w:tab w:val="left" w:pos="360"/>
          <w:tab w:val="left" w:pos="420"/>
          <w:tab w:val="left" w:pos="780"/>
          <w:tab w:val="clear" w:pos="160"/>
        </w:tabs>
        <w:spacing w:before="156" w:beforeLines="50" w:line="276" w:lineRule="auto"/>
        <w:ind w:left="360"/>
        <w:outlineLvl w:val="0"/>
        <w:rPr>
          <w:rFonts w:ascii="宋体" w:hAnsi="宋体" w:cs="宋体"/>
          <w:color w:val="000000" w:themeColor="text1"/>
          <w:sz w:val="24"/>
        </w:rPr>
      </w:pPr>
      <w:r>
        <w:rPr>
          <w:rFonts w:hint="eastAsia" w:ascii="宋体" w:hAnsi="宋体" w:cs="宋体"/>
          <w:color w:val="000000" w:themeColor="text1"/>
          <w:sz w:val="24"/>
        </w:rPr>
        <w:t>自合同签订日起，须在</w:t>
      </w:r>
      <w:r>
        <w:rPr>
          <w:rFonts w:ascii="宋体" w:hAnsi="宋体" w:cs="宋体"/>
          <w:color w:val="000000" w:themeColor="text1"/>
          <w:sz w:val="24"/>
          <w:u w:val="single"/>
        </w:rPr>
        <w:t>10</w:t>
      </w:r>
      <w:r>
        <w:rPr>
          <w:rFonts w:hint="eastAsia" w:ascii="宋体" w:hAnsi="宋体" w:cs="宋体"/>
          <w:color w:val="000000" w:themeColor="text1"/>
          <w:sz w:val="24"/>
        </w:rPr>
        <w:t>个工作日内对《用户需求说明书》进行补充、确认或提出意见。</w:t>
      </w:r>
    </w:p>
    <w:p>
      <w:pPr>
        <w:numPr>
          <w:ilvl w:val="0"/>
          <w:numId w:val="15"/>
        </w:numPr>
        <w:tabs>
          <w:tab w:val="left" w:pos="360"/>
          <w:tab w:val="left" w:pos="780"/>
          <w:tab w:val="clear" w:pos="160"/>
        </w:tabs>
        <w:spacing w:before="156" w:beforeLines="50" w:line="276" w:lineRule="auto"/>
        <w:ind w:left="360"/>
        <w:outlineLvl w:val="0"/>
        <w:rPr>
          <w:rFonts w:ascii="宋体" w:hAnsi="宋体" w:cs="宋体"/>
          <w:color w:val="000000" w:themeColor="text1"/>
          <w:sz w:val="24"/>
        </w:rPr>
      </w:pPr>
      <w:r>
        <w:rPr>
          <w:rFonts w:hint="eastAsia" w:ascii="宋体" w:hAnsi="宋体" w:cs="宋体"/>
          <w:color w:val="000000" w:themeColor="text1"/>
          <w:sz w:val="24"/>
        </w:rPr>
        <w:t>对《用户需求说明书》提出意见后，院方组织进行用户需求调研，根据调研情况提供业务调研记录、现况分析、功能设计及说明，双方共同整理并在</w:t>
      </w:r>
      <w:r>
        <w:rPr>
          <w:rFonts w:ascii="宋体" w:hAnsi="宋体" w:cs="宋体"/>
          <w:color w:val="000000" w:themeColor="text1"/>
          <w:sz w:val="24"/>
          <w:u w:val="single"/>
        </w:rPr>
        <w:t>15</w:t>
      </w:r>
      <w:r>
        <w:rPr>
          <w:rFonts w:hint="eastAsia" w:ascii="宋体" w:hAnsi="宋体" w:cs="宋体"/>
          <w:color w:val="000000" w:themeColor="text1"/>
          <w:sz w:val="24"/>
        </w:rPr>
        <w:t>个工作日内确认《需求规格说明书》。</w:t>
      </w:r>
    </w:p>
    <w:p>
      <w:pPr>
        <w:numPr>
          <w:ilvl w:val="0"/>
          <w:numId w:val="15"/>
        </w:numPr>
        <w:tabs>
          <w:tab w:val="left" w:pos="360"/>
          <w:tab w:val="left" w:pos="780"/>
          <w:tab w:val="clear" w:pos="160"/>
        </w:tabs>
        <w:spacing w:before="156" w:beforeLines="50" w:line="276" w:lineRule="auto"/>
        <w:ind w:left="360"/>
        <w:outlineLvl w:val="0"/>
        <w:rPr>
          <w:rFonts w:ascii="宋体" w:hAnsi="宋体" w:cs="宋体"/>
          <w:color w:val="000000" w:themeColor="text1"/>
          <w:sz w:val="24"/>
        </w:rPr>
      </w:pPr>
      <w:r>
        <w:rPr>
          <w:rFonts w:hint="eastAsia" w:ascii="宋体" w:hAnsi="宋体" w:cs="宋体"/>
          <w:color w:val="000000" w:themeColor="text1"/>
          <w:sz w:val="24"/>
        </w:rPr>
        <w:t>须在《需求规格说明书》确认后的</w:t>
      </w:r>
      <w:r>
        <w:rPr>
          <w:rFonts w:ascii="宋体" w:hAnsi="宋体" w:cs="宋体"/>
          <w:color w:val="000000" w:themeColor="text1"/>
          <w:sz w:val="24"/>
          <w:u w:val="single"/>
        </w:rPr>
        <w:t>180</w:t>
      </w:r>
      <w:r>
        <w:rPr>
          <w:rFonts w:hint="eastAsia" w:ascii="宋体" w:hAnsi="宋体" w:cs="宋体"/>
          <w:color w:val="000000" w:themeColor="text1"/>
          <w:sz w:val="24"/>
        </w:rPr>
        <w:t>个工作日内完成实施导入和保证系统正常工作。</w:t>
      </w:r>
    </w:p>
    <w:p>
      <w:pPr>
        <w:numPr>
          <w:ilvl w:val="0"/>
          <w:numId w:val="15"/>
        </w:numPr>
        <w:tabs>
          <w:tab w:val="left" w:pos="360"/>
          <w:tab w:val="left" w:pos="780"/>
          <w:tab w:val="clear" w:pos="160"/>
        </w:tabs>
        <w:spacing w:before="156" w:beforeLines="50" w:line="276" w:lineRule="auto"/>
        <w:ind w:left="360"/>
        <w:outlineLvl w:val="0"/>
        <w:rPr>
          <w:rFonts w:ascii="宋体" w:hAnsi="宋体" w:cs="宋体"/>
          <w:color w:val="000000" w:themeColor="text1"/>
          <w:sz w:val="24"/>
        </w:rPr>
      </w:pPr>
      <w:r>
        <w:rPr>
          <w:rFonts w:hint="eastAsia" w:ascii="宋体" w:hAnsi="宋体" w:cs="宋体"/>
          <w:color w:val="000000" w:themeColor="text1"/>
          <w:sz w:val="24"/>
        </w:rPr>
        <w:t>完成软件实施，并根据院方提出的新需求完成修改后，系统运行</w:t>
      </w:r>
      <w:r>
        <w:rPr>
          <w:rFonts w:ascii="宋体" w:hAnsi="宋体" w:cs="宋体"/>
          <w:color w:val="000000" w:themeColor="text1"/>
          <w:sz w:val="24"/>
          <w:u w:val="single"/>
        </w:rPr>
        <w:t xml:space="preserve"> 3 </w:t>
      </w:r>
      <w:r>
        <w:rPr>
          <w:rFonts w:hint="eastAsia" w:ascii="宋体" w:hAnsi="宋体" w:cs="宋体"/>
          <w:color w:val="000000" w:themeColor="text1"/>
          <w:sz w:val="24"/>
        </w:rPr>
        <w:t>个月以上无软件故障出现，则向院方申请验收。</w:t>
      </w:r>
    </w:p>
    <w:p>
      <w:pPr>
        <w:pStyle w:val="74"/>
        <w:numPr>
          <w:ilvl w:val="0"/>
          <w:numId w:val="2"/>
        </w:numPr>
        <w:spacing w:after="0" w:line="276" w:lineRule="auto"/>
        <w:contextualSpacing w:val="0"/>
        <w:rPr>
          <w:rFonts w:ascii="宋体" w:hAnsi="宋体"/>
          <w:b/>
          <w:bCs/>
          <w:kern w:val="44"/>
          <w:sz w:val="32"/>
          <w:szCs w:val="32"/>
        </w:rPr>
      </w:pPr>
      <w:r>
        <w:rPr>
          <w:rFonts w:hint="eastAsia" w:ascii="宋体" w:hAnsi="宋体"/>
          <w:b/>
          <w:bCs/>
          <w:kern w:val="44"/>
          <w:sz w:val="32"/>
          <w:szCs w:val="32"/>
        </w:rPr>
        <w:t>合作研发服务</w:t>
      </w:r>
    </w:p>
    <w:p>
      <w:pPr>
        <w:numPr>
          <w:ilvl w:val="0"/>
          <w:numId w:val="16"/>
        </w:numPr>
        <w:tabs>
          <w:tab w:val="left" w:pos="780"/>
        </w:tabs>
        <w:spacing w:before="156" w:beforeLines="50" w:after="0" w:line="276" w:lineRule="auto"/>
        <w:outlineLvl w:val="0"/>
        <w:rPr>
          <w:rFonts w:ascii="宋体" w:hAnsi="宋体" w:cs="宋体"/>
          <w:color w:val="000000" w:themeColor="text1"/>
          <w:sz w:val="24"/>
        </w:rPr>
      </w:pPr>
      <w:r>
        <w:rPr>
          <w:rFonts w:hint="eastAsia" w:ascii="宋体" w:hAnsi="宋体" w:cs="宋体"/>
          <w:color w:val="000000" w:themeColor="text1"/>
          <w:sz w:val="24"/>
        </w:rPr>
        <w:t>承建商</w:t>
      </w:r>
      <w:r>
        <w:rPr>
          <w:rFonts w:ascii="宋体" w:hAnsi="宋体" w:cs="宋体"/>
          <w:color w:val="000000" w:themeColor="text1"/>
          <w:sz w:val="24"/>
        </w:rPr>
        <w:t>提供系统</w:t>
      </w:r>
      <w:r>
        <w:rPr>
          <w:rFonts w:hint="eastAsia" w:ascii="宋体" w:hAnsi="宋体" w:cs="宋体"/>
          <w:color w:val="000000" w:themeColor="text1"/>
          <w:sz w:val="24"/>
        </w:rPr>
        <w:t>合作研发服务，需配合广东省人民医院关于知识产权保护的相关</w:t>
      </w:r>
      <w:r>
        <w:rPr>
          <w:rFonts w:ascii="宋体" w:hAnsi="宋体" w:cs="宋体"/>
          <w:color w:val="000000" w:themeColor="text1"/>
          <w:sz w:val="24"/>
        </w:rPr>
        <w:t>要求</w:t>
      </w:r>
      <w:r>
        <w:rPr>
          <w:rFonts w:hint="eastAsia" w:ascii="宋体" w:hAnsi="宋体" w:cs="宋体"/>
          <w:color w:val="000000" w:themeColor="text1"/>
          <w:sz w:val="24"/>
        </w:rPr>
        <w:t>。</w:t>
      </w:r>
    </w:p>
    <w:p>
      <w:pPr>
        <w:numPr>
          <w:ilvl w:val="0"/>
          <w:numId w:val="16"/>
        </w:numPr>
        <w:tabs>
          <w:tab w:val="left" w:pos="780"/>
        </w:tabs>
        <w:spacing w:before="156" w:beforeLines="50" w:after="0" w:line="276" w:lineRule="auto"/>
        <w:outlineLvl w:val="0"/>
        <w:rPr>
          <w:rFonts w:ascii="宋体" w:hAnsi="宋体" w:cs="宋体"/>
          <w:color w:val="000000" w:themeColor="text1"/>
          <w:sz w:val="24"/>
        </w:rPr>
      </w:pPr>
      <w:r>
        <w:rPr>
          <w:rFonts w:ascii="宋体" w:hAnsi="宋体" w:cs="宋体"/>
          <w:color w:val="000000" w:themeColor="text1"/>
          <w:sz w:val="24"/>
        </w:rPr>
        <w:t>基于</w:t>
      </w:r>
      <w:r>
        <w:rPr>
          <w:rFonts w:hint="eastAsia" w:ascii="宋体" w:hAnsi="宋体" w:cs="宋体"/>
          <w:color w:val="000000" w:themeColor="text1"/>
          <w:sz w:val="24"/>
        </w:rPr>
        <w:t>项目</w:t>
      </w:r>
      <w:r>
        <w:rPr>
          <w:rFonts w:ascii="宋体" w:hAnsi="宋体" w:cs="宋体"/>
          <w:color w:val="000000" w:themeColor="text1"/>
          <w:sz w:val="24"/>
        </w:rPr>
        <w:t>需求</w:t>
      </w:r>
      <w:r>
        <w:rPr>
          <w:rFonts w:hint="eastAsia" w:ascii="宋体" w:hAnsi="宋体" w:cs="宋体"/>
          <w:color w:val="000000" w:themeColor="text1"/>
          <w:sz w:val="24"/>
        </w:rPr>
        <w:t>与院方合作</w:t>
      </w:r>
      <w:r>
        <w:rPr>
          <w:rFonts w:ascii="宋体" w:hAnsi="宋体" w:cs="宋体"/>
          <w:color w:val="000000" w:themeColor="text1"/>
          <w:sz w:val="24"/>
        </w:rPr>
        <w:t>研发</w:t>
      </w:r>
      <w:r>
        <w:rPr>
          <w:rFonts w:hint="eastAsia" w:ascii="宋体" w:hAnsi="宋体" w:cs="宋体"/>
          <w:color w:val="000000" w:themeColor="text1"/>
          <w:sz w:val="24"/>
        </w:rPr>
        <w:t>放射科护理智能管理系统，</w:t>
      </w:r>
      <w:r>
        <w:rPr>
          <w:rFonts w:ascii="宋体" w:hAnsi="宋体" w:cs="宋体"/>
          <w:color w:val="000000" w:themeColor="text1"/>
          <w:sz w:val="24"/>
        </w:rPr>
        <w:t>共同推进合作研发成果转化。</w:t>
      </w:r>
    </w:p>
    <w:p>
      <w:pPr>
        <w:numPr>
          <w:ilvl w:val="0"/>
          <w:numId w:val="16"/>
        </w:numPr>
        <w:tabs>
          <w:tab w:val="left" w:pos="780"/>
        </w:tabs>
        <w:spacing w:before="156" w:beforeLines="50" w:after="0" w:line="276" w:lineRule="auto"/>
        <w:outlineLvl w:val="0"/>
        <w:rPr>
          <w:rFonts w:ascii="宋体" w:hAnsi="宋体" w:cs="宋体"/>
          <w:color w:val="000000" w:themeColor="text1"/>
          <w:sz w:val="24"/>
        </w:rPr>
      </w:pPr>
      <w:r>
        <w:rPr>
          <w:rFonts w:hint="eastAsia" w:ascii="宋体" w:hAnsi="宋体" w:cs="宋体"/>
          <w:color w:val="000000" w:themeColor="text1"/>
          <w:sz w:val="24"/>
        </w:rPr>
        <w:t>承建商负责申报</w:t>
      </w:r>
      <w:r>
        <w:rPr>
          <w:rFonts w:ascii="宋体" w:hAnsi="宋体" w:cs="宋体"/>
          <w:color w:val="000000" w:themeColor="text1"/>
          <w:sz w:val="24"/>
        </w:rPr>
        <w:t>2项以上（含2项）软件著作权或专利</w:t>
      </w:r>
      <w:r>
        <w:rPr>
          <w:rFonts w:hint="eastAsia" w:ascii="宋体" w:hAnsi="宋体" w:cs="宋体"/>
          <w:color w:val="000000" w:themeColor="text1"/>
          <w:sz w:val="24"/>
        </w:rPr>
        <w:t>。</w:t>
      </w:r>
    </w:p>
    <w:p>
      <w:pPr>
        <w:pStyle w:val="74"/>
        <w:numPr>
          <w:ilvl w:val="0"/>
          <w:numId w:val="2"/>
        </w:numPr>
        <w:spacing w:after="0" w:line="276" w:lineRule="auto"/>
        <w:contextualSpacing w:val="0"/>
        <w:rPr>
          <w:rFonts w:ascii="宋体" w:hAnsi="宋体"/>
          <w:b/>
          <w:bCs/>
          <w:color w:val="000000" w:themeColor="text1"/>
          <w:kern w:val="44"/>
          <w:sz w:val="24"/>
        </w:rPr>
      </w:pPr>
      <w:r>
        <w:rPr>
          <w:rFonts w:hint="eastAsia" w:ascii="宋体" w:hAnsi="宋体"/>
          <w:b/>
          <w:bCs/>
          <w:kern w:val="44"/>
          <w:sz w:val="32"/>
          <w:szCs w:val="32"/>
        </w:rPr>
        <w:t>合作研发转化</w:t>
      </w:r>
    </w:p>
    <w:p>
      <w:pPr>
        <w:spacing w:line="360" w:lineRule="auto"/>
        <w:ind w:firstLine="480" w:firstLineChars="200"/>
        <w:jc w:val="left"/>
        <w:rPr>
          <w:rFonts w:ascii="宋体" w:hAnsi="宋体" w:cs="宋体"/>
          <w:color w:val="000000" w:themeColor="text1"/>
          <w:sz w:val="24"/>
        </w:rPr>
      </w:pPr>
      <w:bookmarkStart w:id="2" w:name="_Hlk132615305"/>
      <w:r>
        <w:rPr>
          <w:rFonts w:hint="eastAsia" w:ascii="宋体" w:hAnsi="宋体" w:cs="宋体"/>
          <w:color w:val="000000" w:themeColor="text1"/>
          <w:sz w:val="24"/>
        </w:rPr>
        <w:t>本项目正式上线运行验收后，合作双方共同进行产品标准化及适配优化开发。乙方在经过甲方书面同意后方可对产品进行销售，在产品成功完成第一笔销售合同签订后，由合作研发双方共同委托第三方资产评估机构（评估机构、评估方法及方式由甲方指定）对项目实施产出物进行估值。估值前如乙方在未经甲方同意的情况下对产品进行销售，一经查实将追究违约责任, 乙方需向甲方支付合同款总额3</w:t>
      </w:r>
      <w:r>
        <w:rPr>
          <w:rFonts w:ascii="宋体" w:hAnsi="宋体" w:cs="宋体"/>
          <w:color w:val="000000" w:themeColor="text1"/>
          <w:sz w:val="24"/>
        </w:rPr>
        <w:t>0%</w:t>
      </w:r>
      <w:r>
        <w:rPr>
          <w:rFonts w:hint="eastAsia" w:ascii="宋体" w:hAnsi="宋体" w:cs="宋体"/>
          <w:color w:val="000000" w:themeColor="text1"/>
          <w:sz w:val="24"/>
        </w:rPr>
        <w:t>的违约金，甲方有权不予乙方实施授权许可。</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估值费用由乙方承担，甲乙双方需无条件协助完成产品估值工作，如估值及产品销售情况发生明显变化，每年可对实施产出物进行重新估值，重新估值评估费用由乙方承担。双方确定，甲乙双方负责对本项目实施产出物进行科技成果转化，其中转化成果不限于专利、软件著作权等知识产权形式，知识产权所有权由甲乙双方共享。对于已转化的科技成果，如成果形式为专利权的，双方另行按照国家相关规定签订专利许可合同，双方同意许可形式为排他许可，具体权利义务以双方另行签署的专利许可合同为准。甲乙双方签订合作协议，甲方对乙方实施授权许可（初始授权期限为3年），乙方向甲方支付实施授权许可费用，具体费用支付方式和时间如下（期间如重新估值，则按照重新估值价格结算授权许可费用）：</w:t>
      </w:r>
    </w:p>
    <w:bookmarkEnd w:id="2"/>
    <w:p>
      <w:pPr>
        <w:spacing w:after="0" w:line="24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 乙方在获得正式授权的两周内，按项目实施产出物估值的20%支付给甲方。</w:t>
      </w:r>
    </w:p>
    <w:p>
      <w:pPr>
        <w:spacing w:after="0" w:line="24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 乙方在获得正式授权一年后的两周内，按项目实施产出物估值的30%支付给甲方。</w:t>
      </w:r>
    </w:p>
    <w:p>
      <w:pPr>
        <w:spacing w:after="0" w:line="24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 乙方在获得正式授权两年后的两周内，按项目实施产出物估值的50%支付给甲方。</w:t>
      </w:r>
    </w:p>
    <w:p>
      <w:pPr>
        <w:spacing w:after="0" w:line="24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 3年后如乙方还需继续获得甲方实施许可授权，双方另行书面协商产品实施产出物实施授权许可费用。</w:t>
      </w:r>
    </w:p>
    <w:p>
      <w:pPr>
        <w:pStyle w:val="2"/>
        <w:numPr>
          <w:ilvl w:val="0"/>
          <w:numId w:val="2"/>
        </w:numPr>
        <w:spacing w:before="0" w:after="0" w:line="276" w:lineRule="auto"/>
        <w:rPr>
          <w:rFonts w:ascii="宋体" w:hAnsi="宋体"/>
          <w:color w:val="000000" w:themeColor="text1"/>
          <w:sz w:val="24"/>
          <w:szCs w:val="24"/>
        </w:rPr>
      </w:pPr>
      <w:r>
        <w:rPr>
          <w:rFonts w:hint="eastAsia" w:ascii="宋体" w:hAnsi="宋体"/>
          <w:color w:val="000000" w:themeColor="text1"/>
          <w:sz w:val="24"/>
          <w:szCs w:val="24"/>
        </w:rPr>
        <w:t>集成技术及实施</w:t>
      </w:r>
      <w:r>
        <w:rPr>
          <w:rFonts w:ascii="宋体" w:hAnsi="宋体"/>
          <w:color w:val="000000" w:themeColor="text1"/>
          <w:sz w:val="24"/>
          <w:szCs w:val="24"/>
        </w:rPr>
        <w:t>服务要求</w:t>
      </w:r>
    </w:p>
    <w:p>
      <w:pPr>
        <w:tabs>
          <w:tab w:val="left" w:pos="780"/>
        </w:tabs>
        <w:spacing w:before="156" w:beforeLines="50" w:line="276" w:lineRule="auto"/>
        <w:ind w:firstLine="480" w:firstLineChars="200"/>
        <w:outlineLvl w:val="0"/>
        <w:rPr>
          <w:rFonts w:ascii="宋体" w:hAnsi="宋体" w:cs="宋体"/>
          <w:color w:val="000000" w:themeColor="text1"/>
          <w:sz w:val="24"/>
        </w:rPr>
      </w:pPr>
      <w:r>
        <w:rPr>
          <w:rFonts w:hint="eastAsia" w:ascii="宋体" w:hAnsi="宋体" w:cs="宋体"/>
          <w:color w:val="000000" w:themeColor="text1"/>
          <w:sz w:val="24"/>
        </w:rPr>
        <w:t>项目实施</w:t>
      </w:r>
      <w:r>
        <w:rPr>
          <w:rFonts w:ascii="宋体" w:hAnsi="宋体" w:cs="宋体"/>
          <w:color w:val="000000" w:themeColor="text1"/>
          <w:sz w:val="24"/>
        </w:rPr>
        <w:t>期</w:t>
      </w:r>
      <w:r>
        <w:rPr>
          <w:rFonts w:hint="eastAsia" w:ascii="宋体" w:hAnsi="宋体" w:cs="宋体"/>
          <w:color w:val="000000" w:themeColor="text1"/>
          <w:sz w:val="24"/>
        </w:rPr>
        <w:t>内承建商提供</w:t>
      </w:r>
      <w:r>
        <w:rPr>
          <w:rFonts w:ascii="宋体" w:hAnsi="宋体" w:cs="宋体"/>
          <w:color w:val="000000" w:themeColor="text1"/>
          <w:sz w:val="24"/>
          <w:u w:val="single"/>
        </w:rPr>
        <w:t xml:space="preserve">2 </w:t>
      </w:r>
      <w:r>
        <w:rPr>
          <w:rFonts w:hint="eastAsia" w:ascii="宋体" w:hAnsi="宋体" w:cs="宋体"/>
          <w:color w:val="000000" w:themeColor="text1"/>
          <w:sz w:val="24"/>
        </w:rPr>
        <w:t>名专职工程师驻扎本院，工作时间与院方工作时间一致，并且提供</w:t>
      </w:r>
      <w:r>
        <w:rPr>
          <w:rFonts w:ascii="宋体" w:hAnsi="宋体" w:cs="宋体"/>
          <w:color w:val="000000" w:themeColor="text1"/>
          <w:sz w:val="24"/>
        </w:rPr>
        <w:t>7*24小时响应服务。</w:t>
      </w:r>
    </w:p>
    <w:p>
      <w:pPr>
        <w:tabs>
          <w:tab w:val="left" w:pos="780"/>
        </w:tabs>
        <w:spacing w:before="156" w:beforeLines="50" w:line="276" w:lineRule="auto"/>
        <w:ind w:firstLine="480" w:firstLineChars="200"/>
        <w:outlineLvl w:val="0"/>
        <w:rPr>
          <w:rFonts w:ascii="宋体" w:hAnsi="宋体" w:cs="宋体"/>
          <w:color w:val="000000" w:themeColor="text1"/>
          <w:sz w:val="24"/>
        </w:rPr>
      </w:pPr>
      <w:r>
        <w:rPr>
          <w:rFonts w:hint="eastAsia" w:ascii="宋体" w:hAnsi="宋体" w:cs="宋体"/>
          <w:color w:val="000000" w:themeColor="text1"/>
          <w:sz w:val="24"/>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156" w:beforeLines="50" w:line="276" w:lineRule="auto"/>
        <w:ind w:firstLine="480" w:firstLineChars="200"/>
        <w:outlineLvl w:val="0"/>
        <w:rPr>
          <w:rFonts w:ascii="宋体" w:hAnsi="宋体" w:cs="宋体"/>
          <w:color w:val="000000" w:themeColor="text1"/>
          <w:sz w:val="24"/>
        </w:rPr>
      </w:pPr>
      <w:r>
        <w:rPr>
          <w:rFonts w:hint="eastAsia" w:ascii="宋体" w:hAnsi="宋体" w:cs="宋体"/>
          <w:color w:val="000000" w:themeColor="text1"/>
          <w:sz w:val="24"/>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156" w:beforeLines="50" w:line="276" w:lineRule="auto"/>
        <w:ind w:firstLine="480" w:firstLineChars="200"/>
        <w:outlineLvl w:val="0"/>
        <w:rPr>
          <w:rFonts w:ascii="宋体" w:hAnsi="宋体" w:cs="宋体"/>
          <w:color w:val="000000" w:themeColor="text1"/>
          <w:sz w:val="24"/>
        </w:rPr>
      </w:pPr>
      <w:r>
        <w:rPr>
          <w:rFonts w:hint="eastAsia" w:ascii="宋体" w:hAnsi="宋体" w:cs="宋体"/>
          <w:color w:val="000000" w:themeColor="text1"/>
          <w:sz w:val="24"/>
        </w:rPr>
        <w:t>项目承建商需根据院方的详细需求，提交项目系统的安装、调试及培训实施方案，方案得到院方确认后实施，保证系统按时、正常地投入运行。</w:t>
      </w:r>
    </w:p>
    <w:p>
      <w:pPr>
        <w:tabs>
          <w:tab w:val="left" w:pos="780"/>
        </w:tabs>
        <w:spacing w:before="156" w:beforeLines="50" w:line="276" w:lineRule="auto"/>
        <w:ind w:firstLine="480" w:firstLineChars="200"/>
        <w:outlineLvl w:val="0"/>
        <w:rPr>
          <w:rFonts w:ascii="宋体" w:hAnsi="宋体" w:cs="宋体"/>
          <w:color w:val="000000" w:themeColor="text1"/>
          <w:sz w:val="24"/>
        </w:rPr>
      </w:pPr>
      <w:r>
        <w:rPr>
          <w:rFonts w:hint="eastAsia" w:ascii="宋体" w:hAnsi="宋体" w:cs="宋体"/>
          <w:color w:val="000000" w:themeColor="text1"/>
          <w:sz w:val="24"/>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156" w:beforeLines="50" w:line="276" w:lineRule="auto"/>
        <w:ind w:firstLine="480" w:firstLineChars="200"/>
        <w:outlineLvl w:val="0"/>
        <w:rPr>
          <w:rFonts w:ascii="宋体" w:hAnsi="宋体" w:cs="宋体"/>
          <w:color w:val="000000" w:themeColor="text1"/>
          <w:sz w:val="24"/>
        </w:rPr>
      </w:pPr>
      <w:r>
        <w:rPr>
          <w:rFonts w:hint="eastAsia" w:ascii="宋体" w:hAnsi="宋体" w:cs="宋体"/>
          <w:color w:val="000000" w:themeColor="text1"/>
          <w:sz w:val="24"/>
        </w:rPr>
        <w:t>验收由承建商给出具体的验收计划、测试的内容和方法，经院方审核通过后，方可进行验收测试。</w:t>
      </w:r>
    </w:p>
    <w:p>
      <w:pPr>
        <w:pStyle w:val="2"/>
        <w:numPr>
          <w:ilvl w:val="0"/>
          <w:numId w:val="2"/>
        </w:numPr>
        <w:spacing w:before="0" w:after="0" w:line="276" w:lineRule="auto"/>
        <w:rPr>
          <w:rFonts w:ascii="宋体" w:hAnsi="宋体"/>
          <w:color w:val="000000" w:themeColor="text1"/>
          <w:sz w:val="24"/>
          <w:szCs w:val="24"/>
        </w:rPr>
      </w:pPr>
      <w:r>
        <w:rPr>
          <w:rFonts w:hint="eastAsia" w:ascii="宋体" w:hAnsi="宋体"/>
          <w:color w:val="000000" w:themeColor="text1"/>
          <w:sz w:val="24"/>
          <w:szCs w:val="24"/>
        </w:rPr>
        <w:t>后续维护服务</w:t>
      </w:r>
    </w:p>
    <w:p>
      <w:pPr>
        <w:tabs>
          <w:tab w:val="left" w:pos="780"/>
        </w:tabs>
        <w:spacing w:before="156" w:beforeLines="50" w:line="276" w:lineRule="auto"/>
        <w:ind w:firstLine="480" w:firstLineChars="200"/>
        <w:outlineLvl w:val="0"/>
        <w:rPr>
          <w:rFonts w:ascii="宋体" w:hAnsi="宋体" w:cs="宋体"/>
          <w:color w:val="000000" w:themeColor="text1"/>
          <w:sz w:val="24"/>
        </w:rPr>
      </w:pPr>
      <w:r>
        <w:rPr>
          <w:rFonts w:hint="eastAsia" w:ascii="宋体" w:hAnsi="宋体" w:cs="宋体"/>
          <w:color w:val="000000" w:themeColor="text1"/>
          <w:sz w:val="24"/>
        </w:rPr>
        <w:t>免费维护期从合同标的验收合格之日算起，期限为</w:t>
      </w:r>
      <w:r>
        <w:rPr>
          <w:rFonts w:ascii="宋体" w:hAnsi="宋体" w:cs="宋体"/>
          <w:color w:val="000000" w:themeColor="text1"/>
          <w:sz w:val="24"/>
        </w:rPr>
        <w:t>36个月。在免费维护期内，承建商提供技术支持和指导，以及软件的局部改进完善以及故障情况下的现场问题解决，需要提供完整的操作手册及工程师常见问题自检手册，支持配合医院后续的本地化功能开发。</w:t>
      </w:r>
    </w:p>
    <w:p>
      <w:pPr>
        <w:tabs>
          <w:tab w:val="left" w:pos="780"/>
        </w:tabs>
        <w:spacing w:before="156" w:beforeLines="50" w:line="276" w:lineRule="auto"/>
        <w:ind w:firstLine="480" w:firstLineChars="200"/>
        <w:outlineLvl w:val="0"/>
        <w:rPr>
          <w:rFonts w:ascii="宋体" w:hAnsi="宋体" w:cs="宋体"/>
          <w:color w:val="000000" w:themeColor="text1"/>
          <w:sz w:val="24"/>
        </w:rPr>
      </w:pPr>
      <w:r>
        <w:rPr>
          <w:rFonts w:hint="eastAsia" w:ascii="宋体" w:hAnsi="宋体" w:cs="宋体"/>
          <w:color w:val="000000" w:themeColor="text1"/>
          <w:sz w:val="24"/>
        </w:rPr>
        <w:t>免费维保期内承建商为院方提供维护及服务的部门及固定的专职技术人员。承建商提供专职工程师</w:t>
      </w:r>
      <w:r>
        <w:rPr>
          <w:rFonts w:ascii="宋体" w:hAnsi="宋体" w:cs="宋体"/>
          <w:color w:val="000000" w:themeColor="text1"/>
          <w:sz w:val="24"/>
          <w:u w:val="single"/>
        </w:rPr>
        <w:t>1</w:t>
      </w:r>
      <w:r>
        <w:rPr>
          <w:rFonts w:hint="eastAsia" w:ascii="宋体" w:hAnsi="宋体" w:cs="宋体"/>
          <w:color w:val="000000" w:themeColor="text1"/>
          <w:sz w:val="24"/>
        </w:rPr>
        <w:t>名驻扎本院，工作时间与院方工作时间一致，并且提供</w:t>
      </w:r>
      <w:r>
        <w:rPr>
          <w:rFonts w:ascii="宋体" w:hAnsi="宋体" w:cs="宋体"/>
          <w:color w:val="000000" w:themeColor="text1"/>
          <w:sz w:val="24"/>
        </w:rPr>
        <w:t>7*24小时响应服务。</w:t>
      </w:r>
    </w:p>
    <w:p>
      <w:pPr>
        <w:tabs>
          <w:tab w:val="left" w:pos="780"/>
        </w:tabs>
        <w:spacing w:before="156" w:beforeLines="50" w:line="276" w:lineRule="auto"/>
        <w:ind w:firstLine="480" w:firstLineChars="200"/>
        <w:outlineLvl w:val="0"/>
        <w:rPr>
          <w:rFonts w:ascii="宋体" w:hAnsi="宋体" w:cs="宋体"/>
          <w:color w:val="000000" w:themeColor="text1"/>
          <w:sz w:val="24"/>
        </w:rPr>
      </w:pPr>
      <w:r>
        <w:rPr>
          <w:rFonts w:hint="eastAsia" w:ascii="宋体" w:hAnsi="宋体" w:cs="宋体"/>
          <w:color w:val="000000" w:themeColor="text1"/>
          <w:sz w:val="24"/>
        </w:rPr>
        <w:t>在免费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156" w:beforeLines="50" w:line="276" w:lineRule="auto"/>
        <w:ind w:firstLine="480" w:firstLineChars="200"/>
        <w:outlineLvl w:val="0"/>
        <w:rPr>
          <w:rFonts w:ascii="宋体" w:hAnsi="宋体" w:cs="宋体"/>
          <w:color w:val="000000" w:themeColor="text1"/>
          <w:sz w:val="24"/>
        </w:rPr>
      </w:pPr>
      <w:r>
        <w:rPr>
          <w:rFonts w:hint="eastAsia" w:ascii="宋体" w:hAnsi="宋体" w:cs="宋体"/>
          <w:color w:val="000000" w:themeColor="text1"/>
          <w:sz w:val="24"/>
        </w:rPr>
        <w:t>超过免费维护期的，双方另行协商签订维护合同，服务方报价不超过合同软件部分金额的</w:t>
      </w:r>
      <w:r>
        <w:rPr>
          <w:rFonts w:ascii="宋体" w:hAnsi="宋体" w:cs="宋体"/>
          <w:color w:val="000000" w:themeColor="text1"/>
          <w:sz w:val="24"/>
        </w:rPr>
        <w:t>8%。</w:t>
      </w:r>
    </w:p>
    <w:sectPr>
      <w:footerReference r:id="rId5" w:type="default"/>
      <w:pgSz w:w="11906" w:h="16838"/>
      <w:pgMar w:top="1021" w:right="1418" w:bottom="1021"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2</w:t>
    </w:r>
    <w:r>
      <w:rPr>
        <w:caps/>
        <w:color w:val="5B9BD5"/>
      </w:rPr>
      <w:fldChar w:fldCharType="end"/>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E2CC5"/>
    <w:multiLevelType w:val="multilevel"/>
    <w:tmpl w:val="131E2CC5"/>
    <w:lvl w:ilvl="0" w:tentative="0">
      <w:start w:val="1"/>
      <w:numFmt w:val="decimal"/>
      <w:lvlText w:val="（%1）"/>
      <w:lvlJc w:val="left"/>
      <w:pPr>
        <w:ind w:left="319" w:hanging="440"/>
      </w:pPr>
      <w:rPr>
        <w:rFonts w:hint="eastAsia" w:ascii="宋体" w:hAnsi="宋体" w:eastAsia="宋体"/>
        <w:b w:val="0"/>
        <w:i w:val="0"/>
        <w:sz w:val="21"/>
      </w:rPr>
    </w:lvl>
    <w:lvl w:ilvl="1" w:tentative="0">
      <w:start w:val="1"/>
      <w:numFmt w:val="lowerLetter"/>
      <w:lvlText w:val="%2)"/>
      <w:lvlJc w:val="left"/>
      <w:pPr>
        <w:ind w:left="759" w:hanging="440"/>
      </w:pPr>
    </w:lvl>
    <w:lvl w:ilvl="2" w:tentative="0">
      <w:start w:val="1"/>
      <w:numFmt w:val="lowerRoman"/>
      <w:lvlText w:val="%3."/>
      <w:lvlJc w:val="right"/>
      <w:pPr>
        <w:ind w:left="1199" w:hanging="440"/>
      </w:pPr>
    </w:lvl>
    <w:lvl w:ilvl="3" w:tentative="0">
      <w:start w:val="1"/>
      <w:numFmt w:val="decimal"/>
      <w:lvlText w:val="%4."/>
      <w:lvlJc w:val="left"/>
      <w:pPr>
        <w:ind w:left="1639" w:hanging="440"/>
      </w:pPr>
    </w:lvl>
    <w:lvl w:ilvl="4" w:tentative="0">
      <w:start w:val="1"/>
      <w:numFmt w:val="lowerLetter"/>
      <w:lvlText w:val="%5)"/>
      <w:lvlJc w:val="left"/>
      <w:pPr>
        <w:ind w:left="2079" w:hanging="440"/>
      </w:pPr>
    </w:lvl>
    <w:lvl w:ilvl="5" w:tentative="0">
      <w:start w:val="1"/>
      <w:numFmt w:val="lowerRoman"/>
      <w:lvlText w:val="%6."/>
      <w:lvlJc w:val="right"/>
      <w:pPr>
        <w:ind w:left="2519" w:hanging="440"/>
      </w:pPr>
    </w:lvl>
    <w:lvl w:ilvl="6" w:tentative="0">
      <w:start w:val="1"/>
      <w:numFmt w:val="decimal"/>
      <w:lvlText w:val="%7."/>
      <w:lvlJc w:val="left"/>
      <w:pPr>
        <w:ind w:left="2959" w:hanging="440"/>
      </w:pPr>
    </w:lvl>
    <w:lvl w:ilvl="7" w:tentative="0">
      <w:start w:val="1"/>
      <w:numFmt w:val="lowerLetter"/>
      <w:lvlText w:val="%8)"/>
      <w:lvlJc w:val="left"/>
      <w:pPr>
        <w:ind w:left="3399" w:hanging="440"/>
      </w:pPr>
    </w:lvl>
    <w:lvl w:ilvl="8" w:tentative="0">
      <w:start w:val="1"/>
      <w:numFmt w:val="lowerRoman"/>
      <w:lvlText w:val="%9."/>
      <w:lvlJc w:val="right"/>
      <w:pPr>
        <w:ind w:left="3839" w:hanging="440"/>
      </w:pPr>
    </w:lvl>
  </w:abstractNum>
  <w:abstractNum w:abstractNumId="1">
    <w:nsid w:val="13E152B2"/>
    <w:multiLevelType w:val="multilevel"/>
    <w:tmpl w:val="13E152B2"/>
    <w:lvl w:ilvl="0" w:tentative="0">
      <w:start w:val="1"/>
      <w:numFmt w:val="decimal"/>
      <w:lvlText w:val="%1."/>
      <w:lvlJc w:val="left"/>
      <w:pPr>
        <w:tabs>
          <w:tab w:val="left" w:pos="160"/>
        </w:tabs>
        <w:ind w:left="160" w:hanging="360"/>
      </w:pPr>
      <w:rPr>
        <w:rFonts w:hint="default"/>
      </w:rPr>
    </w:lvl>
    <w:lvl w:ilvl="1" w:tentative="0">
      <w:start w:val="1"/>
      <w:numFmt w:val="decimal"/>
      <w:lvlText w:val="%2)"/>
      <w:lvlJc w:val="left"/>
      <w:pPr>
        <w:tabs>
          <w:tab w:val="left" w:pos="640"/>
        </w:tabs>
        <w:ind w:left="640" w:hanging="420"/>
      </w:pPr>
      <w:rPr>
        <w:rFonts w:hint="default"/>
      </w:rPr>
    </w:lvl>
    <w:lvl w:ilvl="2" w:tentative="0">
      <w:start w:val="1"/>
      <w:numFmt w:val="lowerRoman"/>
      <w:lvlText w:val="%3."/>
      <w:lvlJc w:val="right"/>
      <w:pPr>
        <w:tabs>
          <w:tab w:val="left" w:pos="1060"/>
        </w:tabs>
        <w:ind w:left="1060" w:hanging="420"/>
      </w:pPr>
    </w:lvl>
    <w:lvl w:ilvl="3" w:tentative="0">
      <w:start w:val="1"/>
      <w:numFmt w:val="decimal"/>
      <w:lvlText w:val="%4."/>
      <w:lvlJc w:val="left"/>
      <w:pPr>
        <w:tabs>
          <w:tab w:val="left" w:pos="1480"/>
        </w:tabs>
        <w:ind w:left="1480" w:hanging="420"/>
      </w:pPr>
    </w:lvl>
    <w:lvl w:ilvl="4" w:tentative="0">
      <w:start w:val="1"/>
      <w:numFmt w:val="lowerLetter"/>
      <w:lvlText w:val="%5)"/>
      <w:lvlJc w:val="left"/>
      <w:pPr>
        <w:tabs>
          <w:tab w:val="left" w:pos="1900"/>
        </w:tabs>
        <w:ind w:left="1900" w:hanging="420"/>
      </w:pPr>
    </w:lvl>
    <w:lvl w:ilvl="5" w:tentative="0">
      <w:start w:val="1"/>
      <w:numFmt w:val="lowerRoman"/>
      <w:lvlText w:val="%6."/>
      <w:lvlJc w:val="right"/>
      <w:pPr>
        <w:tabs>
          <w:tab w:val="left" w:pos="2320"/>
        </w:tabs>
        <w:ind w:left="2320" w:hanging="420"/>
      </w:pPr>
    </w:lvl>
    <w:lvl w:ilvl="6" w:tentative="0">
      <w:start w:val="1"/>
      <w:numFmt w:val="decimal"/>
      <w:lvlText w:val="%7."/>
      <w:lvlJc w:val="left"/>
      <w:pPr>
        <w:tabs>
          <w:tab w:val="left" w:pos="2740"/>
        </w:tabs>
        <w:ind w:left="2740" w:hanging="420"/>
      </w:pPr>
    </w:lvl>
    <w:lvl w:ilvl="7" w:tentative="0">
      <w:start w:val="1"/>
      <w:numFmt w:val="lowerLetter"/>
      <w:lvlText w:val="%8)"/>
      <w:lvlJc w:val="left"/>
      <w:pPr>
        <w:tabs>
          <w:tab w:val="left" w:pos="3160"/>
        </w:tabs>
        <w:ind w:left="3160" w:hanging="420"/>
      </w:pPr>
    </w:lvl>
    <w:lvl w:ilvl="8" w:tentative="0">
      <w:start w:val="1"/>
      <w:numFmt w:val="lowerRoman"/>
      <w:lvlText w:val="%9."/>
      <w:lvlJc w:val="right"/>
      <w:pPr>
        <w:tabs>
          <w:tab w:val="left" w:pos="3580"/>
        </w:tabs>
        <w:ind w:left="3580" w:hanging="420"/>
      </w:pPr>
    </w:lvl>
  </w:abstractNum>
  <w:abstractNum w:abstractNumId="2">
    <w:nsid w:val="1A607AF6"/>
    <w:multiLevelType w:val="multilevel"/>
    <w:tmpl w:val="1A607AF6"/>
    <w:lvl w:ilvl="0" w:tentative="0">
      <w:start w:val="1"/>
      <w:numFmt w:val="decimal"/>
      <w:lvlText w:val="（%1）"/>
      <w:lvlJc w:val="left"/>
      <w:pPr>
        <w:ind w:left="440" w:hanging="440"/>
      </w:pPr>
      <w:rPr>
        <w:rFonts w:hint="eastAsia" w:ascii="宋体" w:hAnsi="宋体" w:eastAsia="宋体"/>
        <w:b w:val="0"/>
        <w:i w:val="0"/>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274041F"/>
    <w:multiLevelType w:val="multilevel"/>
    <w:tmpl w:val="2274041F"/>
    <w:lvl w:ilvl="0" w:tentative="0">
      <w:start w:val="1"/>
      <w:numFmt w:val="decimal"/>
      <w:lvlText w:val="（%1）"/>
      <w:lvlJc w:val="left"/>
      <w:pPr>
        <w:ind w:left="319" w:hanging="440"/>
      </w:pPr>
      <w:rPr>
        <w:rFonts w:hint="eastAsia" w:ascii="宋体" w:hAnsi="宋体" w:eastAsia="宋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14519C"/>
    <w:multiLevelType w:val="multilevel"/>
    <w:tmpl w:val="2714519C"/>
    <w:lvl w:ilvl="0" w:tentative="0">
      <w:start w:val="1"/>
      <w:numFmt w:val="decimal"/>
      <w:lvlText w:val="（%1）"/>
      <w:lvlJc w:val="left"/>
      <w:pPr>
        <w:ind w:left="-762" w:hanging="440"/>
      </w:pPr>
      <w:rPr>
        <w:rFonts w:hint="eastAsia" w:ascii="宋体" w:hAnsi="宋体" w:eastAsia="宋体"/>
        <w:b w:val="0"/>
        <w:i w:val="0"/>
        <w:sz w:val="21"/>
      </w:rPr>
    </w:lvl>
    <w:lvl w:ilvl="1" w:tentative="0">
      <w:start w:val="1"/>
      <w:numFmt w:val="lowerLetter"/>
      <w:lvlText w:val="%2)"/>
      <w:lvlJc w:val="left"/>
      <w:pPr>
        <w:ind w:left="279" w:hanging="440"/>
      </w:pPr>
    </w:lvl>
    <w:lvl w:ilvl="2" w:tentative="0">
      <w:start w:val="1"/>
      <w:numFmt w:val="lowerRoman"/>
      <w:lvlText w:val="%3."/>
      <w:lvlJc w:val="right"/>
      <w:pPr>
        <w:ind w:left="719" w:hanging="440"/>
      </w:pPr>
    </w:lvl>
    <w:lvl w:ilvl="3" w:tentative="0">
      <w:start w:val="1"/>
      <w:numFmt w:val="decimal"/>
      <w:lvlText w:val="%4."/>
      <w:lvlJc w:val="left"/>
      <w:pPr>
        <w:ind w:left="1159" w:hanging="440"/>
      </w:pPr>
    </w:lvl>
    <w:lvl w:ilvl="4" w:tentative="0">
      <w:start w:val="1"/>
      <w:numFmt w:val="lowerLetter"/>
      <w:lvlText w:val="%5)"/>
      <w:lvlJc w:val="left"/>
      <w:pPr>
        <w:ind w:left="1599" w:hanging="440"/>
      </w:pPr>
    </w:lvl>
    <w:lvl w:ilvl="5" w:tentative="0">
      <w:start w:val="1"/>
      <w:numFmt w:val="lowerRoman"/>
      <w:lvlText w:val="%6."/>
      <w:lvlJc w:val="right"/>
      <w:pPr>
        <w:ind w:left="2039" w:hanging="440"/>
      </w:pPr>
    </w:lvl>
    <w:lvl w:ilvl="6" w:tentative="0">
      <w:start w:val="1"/>
      <w:numFmt w:val="decimal"/>
      <w:lvlText w:val="%7."/>
      <w:lvlJc w:val="left"/>
      <w:pPr>
        <w:ind w:left="2479" w:hanging="440"/>
      </w:pPr>
    </w:lvl>
    <w:lvl w:ilvl="7" w:tentative="0">
      <w:start w:val="1"/>
      <w:numFmt w:val="lowerLetter"/>
      <w:lvlText w:val="%8)"/>
      <w:lvlJc w:val="left"/>
      <w:pPr>
        <w:ind w:left="2919" w:hanging="440"/>
      </w:pPr>
    </w:lvl>
    <w:lvl w:ilvl="8" w:tentative="0">
      <w:start w:val="1"/>
      <w:numFmt w:val="lowerRoman"/>
      <w:lvlText w:val="%9."/>
      <w:lvlJc w:val="right"/>
      <w:pPr>
        <w:ind w:left="3359" w:hanging="440"/>
      </w:pPr>
    </w:lvl>
  </w:abstractNum>
  <w:abstractNum w:abstractNumId="5">
    <w:nsid w:val="282002A3"/>
    <w:multiLevelType w:val="multilevel"/>
    <w:tmpl w:val="282002A3"/>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lvlText w:val="5.1.1.%4"/>
      <w:lvlJc w:val="left"/>
      <w:pPr>
        <w:ind w:left="864" w:hanging="864"/>
      </w:pPr>
      <w:rPr>
        <w:rFonts w:hint="eastAsia"/>
      </w:rPr>
    </w:lvl>
    <w:lvl w:ilvl="4" w:tentative="0">
      <w:start w:val="1"/>
      <w:numFmt w:val="decimal"/>
      <w:lvlText w:val="5.1.1.1.%5"/>
      <w:lvlJc w:val="left"/>
      <w:pPr>
        <w:ind w:left="2142"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8">
    <w:nsid w:val="4CB458B4"/>
    <w:multiLevelType w:val="multilevel"/>
    <w:tmpl w:val="4CB458B4"/>
    <w:lvl w:ilvl="0" w:tentative="0">
      <w:start w:val="1"/>
      <w:numFmt w:val="decimal"/>
      <w:lvlText w:val="（%1）"/>
      <w:lvlJc w:val="left"/>
      <w:pPr>
        <w:ind w:left="900" w:hanging="440"/>
      </w:pPr>
      <w:rPr>
        <w:rFonts w:hint="eastAsia" w:ascii="宋体" w:hAnsi="宋体" w:eastAsia="宋体"/>
        <w:b w:val="0"/>
        <w:i w:val="0"/>
        <w:color w:val="000000" w:themeColor="text1"/>
        <w:sz w:val="21"/>
      </w:rPr>
    </w:lvl>
    <w:lvl w:ilvl="1" w:tentative="0">
      <w:start w:val="1"/>
      <w:numFmt w:val="lowerLetter"/>
      <w:lvlText w:val="%2)"/>
      <w:lvlJc w:val="left"/>
      <w:pPr>
        <w:ind w:left="1340" w:hanging="440"/>
      </w:pPr>
    </w:lvl>
    <w:lvl w:ilvl="2" w:tentative="0">
      <w:start w:val="1"/>
      <w:numFmt w:val="lowerRoman"/>
      <w:lvlText w:val="%3."/>
      <w:lvlJc w:val="right"/>
      <w:pPr>
        <w:ind w:left="1780" w:hanging="440"/>
      </w:pPr>
    </w:lvl>
    <w:lvl w:ilvl="3" w:tentative="0">
      <w:start w:val="1"/>
      <w:numFmt w:val="decimal"/>
      <w:lvlText w:val="%4."/>
      <w:lvlJc w:val="left"/>
      <w:pPr>
        <w:ind w:left="2220" w:hanging="440"/>
      </w:pPr>
    </w:lvl>
    <w:lvl w:ilvl="4" w:tentative="0">
      <w:start w:val="1"/>
      <w:numFmt w:val="lowerLetter"/>
      <w:lvlText w:val="%5)"/>
      <w:lvlJc w:val="left"/>
      <w:pPr>
        <w:ind w:left="2660" w:hanging="440"/>
      </w:pPr>
    </w:lvl>
    <w:lvl w:ilvl="5" w:tentative="0">
      <w:start w:val="1"/>
      <w:numFmt w:val="lowerRoman"/>
      <w:lvlText w:val="%6."/>
      <w:lvlJc w:val="right"/>
      <w:pPr>
        <w:ind w:left="3100" w:hanging="440"/>
      </w:pPr>
    </w:lvl>
    <w:lvl w:ilvl="6" w:tentative="0">
      <w:start w:val="1"/>
      <w:numFmt w:val="decimal"/>
      <w:lvlText w:val="%7."/>
      <w:lvlJc w:val="left"/>
      <w:pPr>
        <w:ind w:left="3540" w:hanging="440"/>
      </w:pPr>
    </w:lvl>
    <w:lvl w:ilvl="7" w:tentative="0">
      <w:start w:val="1"/>
      <w:numFmt w:val="lowerLetter"/>
      <w:lvlText w:val="%8)"/>
      <w:lvlJc w:val="left"/>
      <w:pPr>
        <w:ind w:left="3980" w:hanging="440"/>
      </w:pPr>
    </w:lvl>
    <w:lvl w:ilvl="8" w:tentative="0">
      <w:start w:val="1"/>
      <w:numFmt w:val="lowerRoman"/>
      <w:lvlText w:val="%9."/>
      <w:lvlJc w:val="right"/>
      <w:pPr>
        <w:ind w:left="4420" w:hanging="440"/>
      </w:pPr>
    </w:lvl>
  </w:abstractNum>
  <w:abstractNum w:abstractNumId="9">
    <w:nsid w:val="516725E2"/>
    <w:multiLevelType w:val="multilevel"/>
    <w:tmpl w:val="516725E2"/>
    <w:lvl w:ilvl="0" w:tentative="0">
      <w:start w:val="1"/>
      <w:numFmt w:val="decimal"/>
      <w:lvlText w:val="（%1）"/>
      <w:lvlJc w:val="left"/>
      <w:pPr>
        <w:ind w:left="440" w:hanging="440"/>
      </w:pPr>
      <w:rPr>
        <w:rFonts w:hint="eastAsia" w:ascii="宋体" w:hAnsi="宋体" w:eastAsia="宋体"/>
        <w:b w:val="0"/>
        <w:i w:val="0"/>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1A022C1"/>
    <w:multiLevelType w:val="multilevel"/>
    <w:tmpl w:val="51A022C1"/>
    <w:lvl w:ilvl="0" w:tentative="0">
      <w:start w:val="1"/>
      <w:numFmt w:val="decimal"/>
      <w:suff w:val="nothing"/>
      <w:lvlText w:val="（%1）"/>
      <w:lvlJc w:val="left"/>
      <w:pPr>
        <w:ind w:left="0" w:firstLine="113"/>
      </w:pPr>
      <w:rPr>
        <w:rFonts w:hint="eastAsia" w:ascii="宋体" w:hAnsi="宋体" w:eastAsia="宋体"/>
        <w:b w:val="0"/>
        <w:i w:val="0"/>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56776779"/>
    <w:multiLevelType w:val="multilevel"/>
    <w:tmpl w:val="56776779"/>
    <w:lvl w:ilvl="0" w:tentative="0">
      <w:start w:val="1"/>
      <w:numFmt w:val="decimal"/>
      <w:suff w:val="nothing"/>
      <w:lvlText w:val="（%1）"/>
      <w:lvlJc w:val="left"/>
      <w:pPr>
        <w:ind w:left="0" w:firstLine="113"/>
      </w:pPr>
      <w:rPr>
        <w:rFonts w:hint="eastAsia" w:ascii="宋体" w:hAnsi="宋体" w:eastAsia="宋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7D2F92"/>
    <w:multiLevelType w:val="multilevel"/>
    <w:tmpl w:val="567D2F92"/>
    <w:lvl w:ilvl="0" w:tentative="0">
      <w:start w:val="1"/>
      <w:numFmt w:val="decimal"/>
      <w:lvlText w:val="（%1）"/>
      <w:lvlJc w:val="left"/>
      <w:pPr>
        <w:ind w:left="440" w:hanging="440"/>
      </w:pPr>
      <w:rPr>
        <w:rFonts w:hint="eastAsia" w:ascii="宋体" w:hAnsi="宋体" w:eastAsia="宋体"/>
        <w:b w:val="0"/>
        <w:i w:val="0"/>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5A0E16D1"/>
    <w:multiLevelType w:val="multilevel"/>
    <w:tmpl w:val="5A0E16D1"/>
    <w:lvl w:ilvl="0" w:tentative="0">
      <w:start w:val="1"/>
      <w:numFmt w:val="decimal"/>
      <w:lvlText w:val="（%1）"/>
      <w:lvlJc w:val="left"/>
      <w:pPr>
        <w:ind w:left="440" w:hanging="440"/>
      </w:pPr>
      <w:rPr>
        <w:rFonts w:hint="eastAsia" w:ascii="宋体" w:hAnsi="宋体" w:eastAsia="宋体"/>
        <w:b w:val="0"/>
        <w:i w:val="0"/>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68CD5828"/>
    <w:multiLevelType w:val="multilevel"/>
    <w:tmpl w:val="68CD5828"/>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EB7381A"/>
    <w:multiLevelType w:val="multilevel"/>
    <w:tmpl w:val="6EB7381A"/>
    <w:lvl w:ilvl="0" w:tentative="0">
      <w:start w:val="1"/>
      <w:numFmt w:val="decimal"/>
      <w:lvlText w:val="（%1）"/>
      <w:lvlJc w:val="left"/>
      <w:pPr>
        <w:ind w:left="-127" w:hanging="440"/>
      </w:pPr>
      <w:rPr>
        <w:rFonts w:hint="eastAsia" w:ascii="宋体" w:hAnsi="宋体" w:eastAsia="宋体"/>
        <w:b w:val="0"/>
        <w:i w:val="0"/>
        <w:sz w:val="21"/>
        <w:lang w:val="en-US"/>
      </w:rPr>
    </w:lvl>
    <w:lvl w:ilvl="1" w:tentative="0">
      <w:start w:val="1"/>
      <w:numFmt w:val="lowerLetter"/>
      <w:lvlText w:val="%2)"/>
      <w:lvlJc w:val="left"/>
      <w:pPr>
        <w:ind w:left="313" w:hanging="440"/>
      </w:pPr>
    </w:lvl>
    <w:lvl w:ilvl="2" w:tentative="0">
      <w:start w:val="1"/>
      <w:numFmt w:val="lowerRoman"/>
      <w:lvlText w:val="%3."/>
      <w:lvlJc w:val="right"/>
      <w:pPr>
        <w:ind w:left="753" w:hanging="440"/>
      </w:pPr>
    </w:lvl>
    <w:lvl w:ilvl="3" w:tentative="0">
      <w:start w:val="1"/>
      <w:numFmt w:val="decimal"/>
      <w:lvlText w:val="%4."/>
      <w:lvlJc w:val="left"/>
      <w:pPr>
        <w:ind w:left="1193" w:hanging="440"/>
      </w:pPr>
    </w:lvl>
    <w:lvl w:ilvl="4" w:tentative="0">
      <w:start w:val="1"/>
      <w:numFmt w:val="lowerLetter"/>
      <w:lvlText w:val="%5)"/>
      <w:lvlJc w:val="left"/>
      <w:pPr>
        <w:ind w:left="1633" w:hanging="440"/>
      </w:pPr>
    </w:lvl>
    <w:lvl w:ilvl="5" w:tentative="0">
      <w:start w:val="1"/>
      <w:numFmt w:val="lowerRoman"/>
      <w:lvlText w:val="%6."/>
      <w:lvlJc w:val="right"/>
      <w:pPr>
        <w:ind w:left="2073" w:hanging="440"/>
      </w:pPr>
    </w:lvl>
    <w:lvl w:ilvl="6" w:tentative="0">
      <w:start w:val="1"/>
      <w:numFmt w:val="decimal"/>
      <w:lvlText w:val="%7."/>
      <w:lvlJc w:val="left"/>
      <w:pPr>
        <w:ind w:left="2513" w:hanging="440"/>
      </w:pPr>
    </w:lvl>
    <w:lvl w:ilvl="7" w:tentative="0">
      <w:start w:val="1"/>
      <w:numFmt w:val="lowerLetter"/>
      <w:lvlText w:val="%8)"/>
      <w:lvlJc w:val="left"/>
      <w:pPr>
        <w:ind w:left="2953" w:hanging="440"/>
      </w:pPr>
    </w:lvl>
    <w:lvl w:ilvl="8" w:tentative="0">
      <w:start w:val="1"/>
      <w:numFmt w:val="lowerRoman"/>
      <w:lvlText w:val="%9."/>
      <w:lvlJc w:val="right"/>
      <w:pPr>
        <w:ind w:left="3393" w:hanging="440"/>
      </w:pPr>
    </w:lvl>
  </w:abstractNum>
  <w:num w:numId="1">
    <w:abstractNumId w:val="6"/>
  </w:num>
  <w:num w:numId="2">
    <w:abstractNumId w:val="7"/>
  </w:num>
  <w:num w:numId="3">
    <w:abstractNumId w:val="4"/>
  </w:num>
  <w:num w:numId="4">
    <w:abstractNumId w:val="8"/>
  </w:num>
  <w:num w:numId="5">
    <w:abstractNumId w:val="0"/>
  </w:num>
  <w:num w:numId="6">
    <w:abstractNumId w:val="3"/>
  </w:num>
  <w:num w:numId="7">
    <w:abstractNumId w:val="2"/>
  </w:num>
  <w:num w:numId="8">
    <w:abstractNumId w:val="5"/>
  </w:num>
  <w:num w:numId="9">
    <w:abstractNumId w:val="12"/>
  </w:num>
  <w:num w:numId="10">
    <w:abstractNumId w:val="13"/>
  </w:num>
  <w:num w:numId="11">
    <w:abstractNumId w:val="15"/>
  </w:num>
  <w:num w:numId="12">
    <w:abstractNumId w:val="10"/>
  </w:num>
  <w:num w:numId="13">
    <w:abstractNumId w:val="9"/>
  </w:num>
  <w:num w:numId="14">
    <w:abstractNumId w:val="11"/>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NmZWQ4ZDMyMDU2MTY4ZmY4YjFhYjNkNzYxMTI0OWEifQ=="/>
    <w:docVar w:name="KSO_WPS_MARK_KEY" w:val="e9a7c2b1-b6cb-42b3-8a27-79708d26672f"/>
  </w:docVars>
  <w:rsids>
    <w:rsidRoot w:val="00303343"/>
    <w:rsid w:val="00003EED"/>
    <w:rsid w:val="00004AE6"/>
    <w:rsid w:val="000051D2"/>
    <w:rsid w:val="00006B30"/>
    <w:rsid w:val="000079DD"/>
    <w:rsid w:val="00012DCC"/>
    <w:rsid w:val="00013CAA"/>
    <w:rsid w:val="00016B63"/>
    <w:rsid w:val="00021E48"/>
    <w:rsid w:val="0003092A"/>
    <w:rsid w:val="000345E2"/>
    <w:rsid w:val="000349CC"/>
    <w:rsid w:val="00036B31"/>
    <w:rsid w:val="00041698"/>
    <w:rsid w:val="00042C7A"/>
    <w:rsid w:val="00042DAC"/>
    <w:rsid w:val="0004334E"/>
    <w:rsid w:val="00046B39"/>
    <w:rsid w:val="00047F1B"/>
    <w:rsid w:val="00054706"/>
    <w:rsid w:val="00062A42"/>
    <w:rsid w:val="00063547"/>
    <w:rsid w:val="00063AA5"/>
    <w:rsid w:val="00066DE7"/>
    <w:rsid w:val="00067096"/>
    <w:rsid w:val="00071B63"/>
    <w:rsid w:val="00074EDD"/>
    <w:rsid w:val="000757C1"/>
    <w:rsid w:val="000758B4"/>
    <w:rsid w:val="000832EF"/>
    <w:rsid w:val="0008383E"/>
    <w:rsid w:val="00085BDF"/>
    <w:rsid w:val="00086AE0"/>
    <w:rsid w:val="0009064D"/>
    <w:rsid w:val="00090A18"/>
    <w:rsid w:val="000922D7"/>
    <w:rsid w:val="00092449"/>
    <w:rsid w:val="000957A2"/>
    <w:rsid w:val="000A105A"/>
    <w:rsid w:val="000A72EA"/>
    <w:rsid w:val="000B41B7"/>
    <w:rsid w:val="000B5140"/>
    <w:rsid w:val="000C43DA"/>
    <w:rsid w:val="000C4507"/>
    <w:rsid w:val="000C6796"/>
    <w:rsid w:val="000C6F14"/>
    <w:rsid w:val="000D1030"/>
    <w:rsid w:val="000D5317"/>
    <w:rsid w:val="000D7344"/>
    <w:rsid w:val="000D7476"/>
    <w:rsid w:val="000E276C"/>
    <w:rsid w:val="000E68A7"/>
    <w:rsid w:val="000E71DD"/>
    <w:rsid w:val="000E7D75"/>
    <w:rsid w:val="000F2EB8"/>
    <w:rsid w:val="000F4B02"/>
    <w:rsid w:val="000F4E99"/>
    <w:rsid w:val="000F6DD0"/>
    <w:rsid w:val="000F76AD"/>
    <w:rsid w:val="000F7757"/>
    <w:rsid w:val="000F7E3B"/>
    <w:rsid w:val="000F7F7B"/>
    <w:rsid w:val="00103EC5"/>
    <w:rsid w:val="00106D68"/>
    <w:rsid w:val="00106FD8"/>
    <w:rsid w:val="001106CE"/>
    <w:rsid w:val="001107F8"/>
    <w:rsid w:val="001116F6"/>
    <w:rsid w:val="0011195C"/>
    <w:rsid w:val="00112AA1"/>
    <w:rsid w:val="001151A8"/>
    <w:rsid w:val="00115944"/>
    <w:rsid w:val="001161EB"/>
    <w:rsid w:val="00116C11"/>
    <w:rsid w:val="00121E40"/>
    <w:rsid w:val="0012322D"/>
    <w:rsid w:val="00123CDF"/>
    <w:rsid w:val="00123FCC"/>
    <w:rsid w:val="00124422"/>
    <w:rsid w:val="00127709"/>
    <w:rsid w:val="00127EF5"/>
    <w:rsid w:val="00133B96"/>
    <w:rsid w:val="00135BF9"/>
    <w:rsid w:val="001365DD"/>
    <w:rsid w:val="00136606"/>
    <w:rsid w:val="00140E0C"/>
    <w:rsid w:val="001419B5"/>
    <w:rsid w:val="00141A2B"/>
    <w:rsid w:val="00143C41"/>
    <w:rsid w:val="0014437A"/>
    <w:rsid w:val="00144FC7"/>
    <w:rsid w:val="00147B36"/>
    <w:rsid w:val="00150E82"/>
    <w:rsid w:val="001510F0"/>
    <w:rsid w:val="00153AB3"/>
    <w:rsid w:val="001544D6"/>
    <w:rsid w:val="00156B1F"/>
    <w:rsid w:val="001570F3"/>
    <w:rsid w:val="00162D29"/>
    <w:rsid w:val="00164878"/>
    <w:rsid w:val="00165091"/>
    <w:rsid w:val="0016575A"/>
    <w:rsid w:val="0016664D"/>
    <w:rsid w:val="00171903"/>
    <w:rsid w:val="00176E5D"/>
    <w:rsid w:val="001773B4"/>
    <w:rsid w:val="0018200C"/>
    <w:rsid w:val="001829DC"/>
    <w:rsid w:val="001833B6"/>
    <w:rsid w:val="00184014"/>
    <w:rsid w:val="00190CD2"/>
    <w:rsid w:val="00193547"/>
    <w:rsid w:val="00194BFE"/>
    <w:rsid w:val="001951A2"/>
    <w:rsid w:val="001968C9"/>
    <w:rsid w:val="00197B45"/>
    <w:rsid w:val="001A18F7"/>
    <w:rsid w:val="001A22A1"/>
    <w:rsid w:val="001A4535"/>
    <w:rsid w:val="001B0279"/>
    <w:rsid w:val="001B32F6"/>
    <w:rsid w:val="001B4850"/>
    <w:rsid w:val="001B4C4A"/>
    <w:rsid w:val="001B5E94"/>
    <w:rsid w:val="001B6E56"/>
    <w:rsid w:val="001B786B"/>
    <w:rsid w:val="001B7966"/>
    <w:rsid w:val="001B7D79"/>
    <w:rsid w:val="001C23B3"/>
    <w:rsid w:val="001C2E5D"/>
    <w:rsid w:val="001C3F45"/>
    <w:rsid w:val="001C7BC6"/>
    <w:rsid w:val="001D4A68"/>
    <w:rsid w:val="001D7749"/>
    <w:rsid w:val="001E2D9F"/>
    <w:rsid w:val="001E3B38"/>
    <w:rsid w:val="001E4247"/>
    <w:rsid w:val="001E6499"/>
    <w:rsid w:val="001E666F"/>
    <w:rsid w:val="001E671F"/>
    <w:rsid w:val="001F1AC8"/>
    <w:rsid w:val="001F6510"/>
    <w:rsid w:val="00200054"/>
    <w:rsid w:val="002000DE"/>
    <w:rsid w:val="00202EFF"/>
    <w:rsid w:val="00204791"/>
    <w:rsid w:val="0020509F"/>
    <w:rsid w:val="0020645D"/>
    <w:rsid w:val="00206C06"/>
    <w:rsid w:val="002071C9"/>
    <w:rsid w:val="00207A96"/>
    <w:rsid w:val="00214A6F"/>
    <w:rsid w:val="00217138"/>
    <w:rsid w:val="002177E3"/>
    <w:rsid w:val="00221F1F"/>
    <w:rsid w:val="00223E47"/>
    <w:rsid w:val="00233E4E"/>
    <w:rsid w:val="00240194"/>
    <w:rsid w:val="00240D3B"/>
    <w:rsid w:val="00241D77"/>
    <w:rsid w:val="002509F5"/>
    <w:rsid w:val="002510C3"/>
    <w:rsid w:val="002535AA"/>
    <w:rsid w:val="00255C2E"/>
    <w:rsid w:val="00256879"/>
    <w:rsid w:val="00256F4A"/>
    <w:rsid w:val="002577F3"/>
    <w:rsid w:val="002614C9"/>
    <w:rsid w:val="00261CBC"/>
    <w:rsid w:val="00265849"/>
    <w:rsid w:val="00265DE7"/>
    <w:rsid w:val="00270260"/>
    <w:rsid w:val="002722CA"/>
    <w:rsid w:val="00275F4E"/>
    <w:rsid w:val="002776CA"/>
    <w:rsid w:val="00280B9C"/>
    <w:rsid w:val="00281AAD"/>
    <w:rsid w:val="002834D3"/>
    <w:rsid w:val="002853BF"/>
    <w:rsid w:val="0028699D"/>
    <w:rsid w:val="00290977"/>
    <w:rsid w:val="00292385"/>
    <w:rsid w:val="00292528"/>
    <w:rsid w:val="002948B1"/>
    <w:rsid w:val="002A01D6"/>
    <w:rsid w:val="002A25EB"/>
    <w:rsid w:val="002A4778"/>
    <w:rsid w:val="002A5CA7"/>
    <w:rsid w:val="002A6C66"/>
    <w:rsid w:val="002B1BFB"/>
    <w:rsid w:val="002B1E60"/>
    <w:rsid w:val="002B26E4"/>
    <w:rsid w:val="002B4A9C"/>
    <w:rsid w:val="002C53D1"/>
    <w:rsid w:val="002D0058"/>
    <w:rsid w:val="002D6BE1"/>
    <w:rsid w:val="002D7F19"/>
    <w:rsid w:val="002E0074"/>
    <w:rsid w:val="002E180E"/>
    <w:rsid w:val="002E3653"/>
    <w:rsid w:val="002E3AE2"/>
    <w:rsid w:val="002F04A5"/>
    <w:rsid w:val="002F31F1"/>
    <w:rsid w:val="002F7734"/>
    <w:rsid w:val="00300B8E"/>
    <w:rsid w:val="0030154D"/>
    <w:rsid w:val="00301C7F"/>
    <w:rsid w:val="003024F8"/>
    <w:rsid w:val="00303343"/>
    <w:rsid w:val="00303CAB"/>
    <w:rsid w:val="003042A2"/>
    <w:rsid w:val="00304636"/>
    <w:rsid w:val="00307A4E"/>
    <w:rsid w:val="0031083C"/>
    <w:rsid w:val="00311322"/>
    <w:rsid w:val="003126FD"/>
    <w:rsid w:val="00314487"/>
    <w:rsid w:val="00314848"/>
    <w:rsid w:val="00314915"/>
    <w:rsid w:val="00314A5A"/>
    <w:rsid w:val="00314E9F"/>
    <w:rsid w:val="0032134C"/>
    <w:rsid w:val="00322973"/>
    <w:rsid w:val="003255D2"/>
    <w:rsid w:val="00326E20"/>
    <w:rsid w:val="00330A49"/>
    <w:rsid w:val="00331EC9"/>
    <w:rsid w:val="003325F0"/>
    <w:rsid w:val="00332A62"/>
    <w:rsid w:val="00341038"/>
    <w:rsid w:val="00341DE5"/>
    <w:rsid w:val="00343CDE"/>
    <w:rsid w:val="00346CEB"/>
    <w:rsid w:val="00347BF4"/>
    <w:rsid w:val="003511FD"/>
    <w:rsid w:val="00352E7C"/>
    <w:rsid w:val="00353276"/>
    <w:rsid w:val="003533C1"/>
    <w:rsid w:val="00356F95"/>
    <w:rsid w:val="00360458"/>
    <w:rsid w:val="003666FA"/>
    <w:rsid w:val="00366980"/>
    <w:rsid w:val="00370A5D"/>
    <w:rsid w:val="003802E2"/>
    <w:rsid w:val="003826A5"/>
    <w:rsid w:val="00385E95"/>
    <w:rsid w:val="00385FED"/>
    <w:rsid w:val="0038650F"/>
    <w:rsid w:val="00386DB0"/>
    <w:rsid w:val="00393220"/>
    <w:rsid w:val="00394259"/>
    <w:rsid w:val="003955A7"/>
    <w:rsid w:val="0039780F"/>
    <w:rsid w:val="00397B7E"/>
    <w:rsid w:val="003A06F6"/>
    <w:rsid w:val="003A2132"/>
    <w:rsid w:val="003A6FEA"/>
    <w:rsid w:val="003A7269"/>
    <w:rsid w:val="003B08E0"/>
    <w:rsid w:val="003B0D0A"/>
    <w:rsid w:val="003C0FB7"/>
    <w:rsid w:val="003C5F11"/>
    <w:rsid w:val="003C6AF1"/>
    <w:rsid w:val="003C6D81"/>
    <w:rsid w:val="003D062E"/>
    <w:rsid w:val="003D06D2"/>
    <w:rsid w:val="003D0794"/>
    <w:rsid w:val="003D0F80"/>
    <w:rsid w:val="003D2595"/>
    <w:rsid w:val="003D34FC"/>
    <w:rsid w:val="003D4CCC"/>
    <w:rsid w:val="003D70AC"/>
    <w:rsid w:val="003E35F8"/>
    <w:rsid w:val="003E3B11"/>
    <w:rsid w:val="003E63CD"/>
    <w:rsid w:val="003E7083"/>
    <w:rsid w:val="003E7405"/>
    <w:rsid w:val="003F3286"/>
    <w:rsid w:val="003F51E8"/>
    <w:rsid w:val="003F629F"/>
    <w:rsid w:val="004018CD"/>
    <w:rsid w:val="00403938"/>
    <w:rsid w:val="004046D4"/>
    <w:rsid w:val="00405200"/>
    <w:rsid w:val="00413DA3"/>
    <w:rsid w:val="00414171"/>
    <w:rsid w:val="00415C5E"/>
    <w:rsid w:val="00416042"/>
    <w:rsid w:val="0041787F"/>
    <w:rsid w:val="00420B64"/>
    <w:rsid w:val="00420F81"/>
    <w:rsid w:val="00421556"/>
    <w:rsid w:val="00423450"/>
    <w:rsid w:val="0042553F"/>
    <w:rsid w:val="004258F8"/>
    <w:rsid w:val="0042702D"/>
    <w:rsid w:val="00427D3C"/>
    <w:rsid w:val="00435C81"/>
    <w:rsid w:val="0044060A"/>
    <w:rsid w:val="00440F72"/>
    <w:rsid w:val="0044161D"/>
    <w:rsid w:val="00442174"/>
    <w:rsid w:val="00447DD9"/>
    <w:rsid w:val="00451957"/>
    <w:rsid w:val="004565AA"/>
    <w:rsid w:val="00456A2C"/>
    <w:rsid w:val="004630DC"/>
    <w:rsid w:val="0046392D"/>
    <w:rsid w:val="00466A08"/>
    <w:rsid w:val="00474455"/>
    <w:rsid w:val="00474AE0"/>
    <w:rsid w:val="0047796F"/>
    <w:rsid w:val="00480B00"/>
    <w:rsid w:val="00481082"/>
    <w:rsid w:val="0048165D"/>
    <w:rsid w:val="00482931"/>
    <w:rsid w:val="004843AD"/>
    <w:rsid w:val="00485E8E"/>
    <w:rsid w:val="004920B2"/>
    <w:rsid w:val="00495574"/>
    <w:rsid w:val="004A439B"/>
    <w:rsid w:val="004A44FF"/>
    <w:rsid w:val="004A4846"/>
    <w:rsid w:val="004A665B"/>
    <w:rsid w:val="004A7C3C"/>
    <w:rsid w:val="004B6B12"/>
    <w:rsid w:val="004B7B71"/>
    <w:rsid w:val="004C09E0"/>
    <w:rsid w:val="004C189D"/>
    <w:rsid w:val="004C2C5B"/>
    <w:rsid w:val="004C34B3"/>
    <w:rsid w:val="004C5D6F"/>
    <w:rsid w:val="004C7DDB"/>
    <w:rsid w:val="004D24D0"/>
    <w:rsid w:val="004D3400"/>
    <w:rsid w:val="004D79A6"/>
    <w:rsid w:val="004E2D8F"/>
    <w:rsid w:val="004E3B02"/>
    <w:rsid w:val="004E5E61"/>
    <w:rsid w:val="004F05D0"/>
    <w:rsid w:val="004F1410"/>
    <w:rsid w:val="004F4A66"/>
    <w:rsid w:val="004F6C21"/>
    <w:rsid w:val="004F7792"/>
    <w:rsid w:val="00500264"/>
    <w:rsid w:val="0050161D"/>
    <w:rsid w:val="00501952"/>
    <w:rsid w:val="0050658F"/>
    <w:rsid w:val="00506850"/>
    <w:rsid w:val="00510B1E"/>
    <w:rsid w:val="00511C38"/>
    <w:rsid w:val="005120A9"/>
    <w:rsid w:val="00512D88"/>
    <w:rsid w:val="00514A96"/>
    <w:rsid w:val="0051558E"/>
    <w:rsid w:val="00515887"/>
    <w:rsid w:val="00517D7C"/>
    <w:rsid w:val="00520646"/>
    <w:rsid w:val="0052176F"/>
    <w:rsid w:val="00524EB8"/>
    <w:rsid w:val="0052604B"/>
    <w:rsid w:val="005306F6"/>
    <w:rsid w:val="0053088D"/>
    <w:rsid w:val="00534BF6"/>
    <w:rsid w:val="005364A2"/>
    <w:rsid w:val="00537CDE"/>
    <w:rsid w:val="005409FC"/>
    <w:rsid w:val="00540C64"/>
    <w:rsid w:val="00540DC7"/>
    <w:rsid w:val="00542BF8"/>
    <w:rsid w:val="00544EBB"/>
    <w:rsid w:val="005563D3"/>
    <w:rsid w:val="005706D8"/>
    <w:rsid w:val="0057197E"/>
    <w:rsid w:val="00573EF0"/>
    <w:rsid w:val="00575827"/>
    <w:rsid w:val="00575F76"/>
    <w:rsid w:val="00576093"/>
    <w:rsid w:val="005766CE"/>
    <w:rsid w:val="00576E99"/>
    <w:rsid w:val="00580F0E"/>
    <w:rsid w:val="005848B0"/>
    <w:rsid w:val="00586A92"/>
    <w:rsid w:val="005901A7"/>
    <w:rsid w:val="00591388"/>
    <w:rsid w:val="0059358B"/>
    <w:rsid w:val="005944F9"/>
    <w:rsid w:val="00595754"/>
    <w:rsid w:val="00596428"/>
    <w:rsid w:val="00596CC5"/>
    <w:rsid w:val="005A2C83"/>
    <w:rsid w:val="005A2E7A"/>
    <w:rsid w:val="005A3DC5"/>
    <w:rsid w:val="005A4D1C"/>
    <w:rsid w:val="005B046D"/>
    <w:rsid w:val="005B33AE"/>
    <w:rsid w:val="005B7318"/>
    <w:rsid w:val="005B7B33"/>
    <w:rsid w:val="005C055A"/>
    <w:rsid w:val="005C0ED3"/>
    <w:rsid w:val="005C49D7"/>
    <w:rsid w:val="005C503E"/>
    <w:rsid w:val="005C5598"/>
    <w:rsid w:val="005C60FB"/>
    <w:rsid w:val="005C7D64"/>
    <w:rsid w:val="005C7EF5"/>
    <w:rsid w:val="005D1C7F"/>
    <w:rsid w:val="005D20B9"/>
    <w:rsid w:val="005D2402"/>
    <w:rsid w:val="005D2BF6"/>
    <w:rsid w:val="005D2EBD"/>
    <w:rsid w:val="005D2F0B"/>
    <w:rsid w:val="005D3A60"/>
    <w:rsid w:val="005D42CD"/>
    <w:rsid w:val="005D4DB1"/>
    <w:rsid w:val="005D59A2"/>
    <w:rsid w:val="005D6B7D"/>
    <w:rsid w:val="005D70F3"/>
    <w:rsid w:val="005E7C53"/>
    <w:rsid w:val="005F0356"/>
    <w:rsid w:val="005F22B7"/>
    <w:rsid w:val="005F46F5"/>
    <w:rsid w:val="005F4D54"/>
    <w:rsid w:val="005F6C03"/>
    <w:rsid w:val="005F73BC"/>
    <w:rsid w:val="00600923"/>
    <w:rsid w:val="00600961"/>
    <w:rsid w:val="00601AA8"/>
    <w:rsid w:val="006037A0"/>
    <w:rsid w:val="006053FC"/>
    <w:rsid w:val="006102E8"/>
    <w:rsid w:val="00610864"/>
    <w:rsid w:val="00610CBF"/>
    <w:rsid w:val="00612F3F"/>
    <w:rsid w:val="00613F0C"/>
    <w:rsid w:val="00615A00"/>
    <w:rsid w:val="00617AD8"/>
    <w:rsid w:val="00620E68"/>
    <w:rsid w:val="00622CB3"/>
    <w:rsid w:val="00623637"/>
    <w:rsid w:val="0062579A"/>
    <w:rsid w:val="006268F1"/>
    <w:rsid w:val="006279C6"/>
    <w:rsid w:val="00630DB3"/>
    <w:rsid w:val="0063555E"/>
    <w:rsid w:val="00635B82"/>
    <w:rsid w:val="00642733"/>
    <w:rsid w:val="00644F1D"/>
    <w:rsid w:val="0064558D"/>
    <w:rsid w:val="00645F8F"/>
    <w:rsid w:val="00646B59"/>
    <w:rsid w:val="00647BBF"/>
    <w:rsid w:val="0065248C"/>
    <w:rsid w:val="006540FC"/>
    <w:rsid w:val="0065424A"/>
    <w:rsid w:val="00654D1B"/>
    <w:rsid w:val="006571CD"/>
    <w:rsid w:val="00657584"/>
    <w:rsid w:val="006604C2"/>
    <w:rsid w:val="0067328F"/>
    <w:rsid w:val="00677D1B"/>
    <w:rsid w:val="00682A1B"/>
    <w:rsid w:val="00683A36"/>
    <w:rsid w:val="006861F5"/>
    <w:rsid w:val="006862A5"/>
    <w:rsid w:val="00687B71"/>
    <w:rsid w:val="0069666F"/>
    <w:rsid w:val="00697FBB"/>
    <w:rsid w:val="006A0E29"/>
    <w:rsid w:val="006A3715"/>
    <w:rsid w:val="006B2085"/>
    <w:rsid w:val="006B21B8"/>
    <w:rsid w:val="006B7AB5"/>
    <w:rsid w:val="006B7B58"/>
    <w:rsid w:val="006C2640"/>
    <w:rsid w:val="006C36EB"/>
    <w:rsid w:val="006C4B12"/>
    <w:rsid w:val="006D203C"/>
    <w:rsid w:val="006D4B15"/>
    <w:rsid w:val="006D59F7"/>
    <w:rsid w:val="006D7F47"/>
    <w:rsid w:val="006E0E88"/>
    <w:rsid w:val="006E1055"/>
    <w:rsid w:val="006E5E07"/>
    <w:rsid w:val="006E6EB0"/>
    <w:rsid w:val="006F0434"/>
    <w:rsid w:val="006F3007"/>
    <w:rsid w:val="006F3A6A"/>
    <w:rsid w:val="006F479B"/>
    <w:rsid w:val="006F677C"/>
    <w:rsid w:val="006F7E36"/>
    <w:rsid w:val="007006A5"/>
    <w:rsid w:val="00701444"/>
    <w:rsid w:val="00701D12"/>
    <w:rsid w:val="00701EA2"/>
    <w:rsid w:val="0070239F"/>
    <w:rsid w:val="007049BE"/>
    <w:rsid w:val="0070527D"/>
    <w:rsid w:val="00706364"/>
    <w:rsid w:val="007107B1"/>
    <w:rsid w:val="007120D7"/>
    <w:rsid w:val="007132C3"/>
    <w:rsid w:val="00716076"/>
    <w:rsid w:val="00721602"/>
    <w:rsid w:val="00722527"/>
    <w:rsid w:val="0072309C"/>
    <w:rsid w:val="00723B9A"/>
    <w:rsid w:val="00723F4B"/>
    <w:rsid w:val="0072695B"/>
    <w:rsid w:val="0073068C"/>
    <w:rsid w:val="00731CCD"/>
    <w:rsid w:val="00736170"/>
    <w:rsid w:val="0074224C"/>
    <w:rsid w:val="0074334B"/>
    <w:rsid w:val="00745BBA"/>
    <w:rsid w:val="0074791A"/>
    <w:rsid w:val="00750A70"/>
    <w:rsid w:val="00750DC0"/>
    <w:rsid w:val="00752595"/>
    <w:rsid w:val="00752912"/>
    <w:rsid w:val="00753F79"/>
    <w:rsid w:val="00754C51"/>
    <w:rsid w:val="00754D42"/>
    <w:rsid w:val="007556BE"/>
    <w:rsid w:val="0075582B"/>
    <w:rsid w:val="00756CA3"/>
    <w:rsid w:val="007621CC"/>
    <w:rsid w:val="00763674"/>
    <w:rsid w:val="0076599F"/>
    <w:rsid w:val="0076668A"/>
    <w:rsid w:val="007669DA"/>
    <w:rsid w:val="00766AF1"/>
    <w:rsid w:val="00770221"/>
    <w:rsid w:val="00774030"/>
    <w:rsid w:val="007744CD"/>
    <w:rsid w:val="00776E68"/>
    <w:rsid w:val="00781248"/>
    <w:rsid w:val="00783A65"/>
    <w:rsid w:val="00784C08"/>
    <w:rsid w:val="00785EDF"/>
    <w:rsid w:val="00786A29"/>
    <w:rsid w:val="007878A9"/>
    <w:rsid w:val="007879E0"/>
    <w:rsid w:val="00791A35"/>
    <w:rsid w:val="007949A7"/>
    <w:rsid w:val="007953FE"/>
    <w:rsid w:val="00795F59"/>
    <w:rsid w:val="00796053"/>
    <w:rsid w:val="00796260"/>
    <w:rsid w:val="007962E5"/>
    <w:rsid w:val="007B7669"/>
    <w:rsid w:val="007C0A5B"/>
    <w:rsid w:val="007C3117"/>
    <w:rsid w:val="007C3FB5"/>
    <w:rsid w:val="007C4F79"/>
    <w:rsid w:val="007D1CE6"/>
    <w:rsid w:val="007D22AB"/>
    <w:rsid w:val="007D6CA9"/>
    <w:rsid w:val="007E0955"/>
    <w:rsid w:val="007E18EE"/>
    <w:rsid w:val="007E1B88"/>
    <w:rsid w:val="007E6952"/>
    <w:rsid w:val="007E71E6"/>
    <w:rsid w:val="007E7FB8"/>
    <w:rsid w:val="007F1DC0"/>
    <w:rsid w:val="007F23FA"/>
    <w:rsid w:val="007F38D2"/>
    <w:rsid w:val="007F5726"/>
    <w:rsid w:val="008010AD"/>
    <w:rsid w:val="00801B0A"/>
    <w:rsid w:val="00814C12"/>
    <w:rsid w:val="008168FB"/>
    <w:rsid w:val="00821D39"/>
    <w:rsid w:val="00822BA6"/>
    <w:rsid w:val="00823955"/>
    <w:rsid w:val="0082485D"/>
    <w:rsid w:val="0083785C"/>
    <w:rsid w:val="008419E9"/>
    <w:rsid w:val="00842EB8"/>
    <w:rsid w:val="00843DDB"/>
    <w:rsid w:val="008453B7"/>
    <w:rsid w:val="008470A2"/>
    <w:rsid w:val="00850518"/>
    <w:rsid w:val="008522A5"/>
    <w:rsid w:val="0085377F"/>
    <w:rsid w:val="00853BEC"/>
    <w:rsid w:val="008548FB"/>
    <w:rsid w:val="0085614B"/>
    <w:rsid w:val="008623FD"/>
    <w:rsid w:val="00866774"/>
    <w:rsid w:val="00872F25"/>
    <w:rsid w:val="00873467"/>
    <w:rsid w:val="00873B97"/>
    <w:rsid w:val="00880B00"/>
    <w:rsid w:val="00884559"/>
    <w:rsid w:val="008867FE"/>
    <w:rsid w:val="00886F08"/>
    <w:rsid w:val="0088743F"/>
    <w:rsid w:val="00892F19"/>
    <w:rsid w:val="00894240"/>
    <w:rsid w:val="00895D92"/>
    <w:rsid w:val="0089787E"/>
    <w:rsid w:val="008A62AC"/>
    <w:rsid w:val="008A7FF9"/>
    <w:rsid w:val="008B0C7F"/>
    <w:rsid w:val="008B1117"/>
    <w:rsid w:val="008B2206"/>
    <w:rsid w:val="008B2807"/>
    <w:rsid w:val="008B3B4B"/>
    <w:rsid w:val="008B4EDD"/>
    <w:rsid w:val="008B5345"/>
    <w:rsid w:val="008C0962"/>
    <w:rsid w:val="008C1617"/>
    <w:rsid w:val="008C255D"/>
    <w:rsid w:val="008C3824"/>
    <w:rsid w:val="008C69F8"/>
    <w:rsid w:val="008D3291"/>
    <w:rsid w:val="008D40FF"/>
    <w:rsid w:val="008D4874"/>
    <w:rsid w:val="008D49B0"/>
    <w:rsid w:val="008D59AA"/>
    <w:rsid w:val="008E145D"/>
    <w:rsid w:val="008E1925"/>
    <w:rsid w:val="008E267A"/>
    <w:rsid w:val="008E2B56"/>
    <w:rsid w:val="008E69C8"/>
    <w:rsid w:val="008E7A23"/>
    <w:rsid w:val="008F1A8A"/>
    <w:rsid w:val="008F1AE3"/>
    <w:rsid w:val="008F4A4D"/>
    <w:rsid w:val="00900232"/>
    <w:rsid w:val="00900BAA"/>
    <w:rsid w:val="00903734"/>
    <w:rsid w:val="00903878"/>
    <w:rsid w:val="00903CF6"/>
    <w:rsid w:val="009052C7"/>
    <w:rsid w:val="00905FFA"/>
    <w:rsid w:val="009122C0"/>
    <w:rsid w:val="00912839"/>
    <w:rsid w:val="0091327D"/>
    <w:rsid w:val="009136EB"/>
    <w:rsid w:val="00914925"/>
    <w:rsid w:val="00914A3A"/>
    <w:rsid w:val="0092017A"/>
    <w:rsid w:val="0092185A"/>
    <w:rsid w:val="00922032"/>
    <w:rsid w:val="009236C9"/>
    <w:rsid w:val="00925C23"/>
    <w:rsid w:val="00927E08"/>
    <w:rsid w:val="009303FA"/>
    <w:rsid w:val="00931FCD"/>
    <w:rsid w:val="00941F0C"/>
    <w:rsid w:val="00943004"/>
    <w:rsid w:val="0094626E"/>
    <w:rsid w:val="00953130"/>
    <w:rsid w:val="00954523"/>
    <w:rsid w:val="00961916"/>
    <w:rsid w:val="009635F5"/>
    <w:rsid w:val="00963A22"/>
    <w:rsid w:val="00966A88"/>
    <w:rsid w:val="00973A47"/>
    <w:rsid w:val="00974C37"/>
    <w:rsid w:val="00981ED8"/>
    <w:rsid w:val="009821A7"/>
    <w:rsid w:val="009822C7"/>
    <w:rsid w:val="00982AA3"/>
    <w:rsid w:val="009848EF"/>
    <w:rsid w:val="009863EF"/>
    <w:rsid w:val="00986A41"/>
    <w:rsid w:val="0098719A"/>
    <w:rsid w:val="00991CA6"/>
    <w:rsid w:val="00991FF2"/>
    <w:rsid w:val="0099315B"/>
    <w:rsid w:val="00995DD9"/>
    <w:rsid w:val="009A1CB6"/>
    <w:rsid w:val="009A4E10"/>
    <w:rsid w:val="009B40CF"/>
    <w:rsid w:val="009B4476"/>
    <w:rsid w:val="009B4DD3"/>
    <w:rsid w:val="009B6998"/>
    <w:rsid w:val="009B6ACF"/>
    <w:rsid w:val="009C0F1B"/>
    <w:rsid w:val="009C1F02"/>
    <w:rsid w:val="009C3783"/>
    <w:rsid w:val="009C3B24"/>
    <w:rsid w:val="009C4E7E"/>
    <w:rsid w:val="009D3033"/>
    <w:rsid w:val="009D3BC9"/>
    <w:rsid w:val="009D4C40"/>
    <w:rsid w:val="009D6951"/>
    <w:rsid w:val="009D7A86"/>
    <w:rsid w:val="009D7DD1"/>
    <w:rsid w:val="009E0351"/>
    <w:rsid w:val="009E0896"/>
    <w:rsid w:val="009E214B"/>
    <w:rsid w:val="009E53AF"/>
    <w:rsid w:val="009F0270"/>
    <w:rsid w:val="009F2647"/>
    <w:rsid w:val="009F475D"/>
    <w:rsid w:val="009F6070"/>
    <w:rsid w:val="009F61FA"/>
    <w:rsid w:val="00A02E70"/>
    <w:rsid w:val="00A04052"/>
    <w:rsid w:val="00A05796"/>
    <w:rsid w:val="00A05BED"/>
    <w:rsid w:val="00A11C0E"/>
    <w:rsid w:val="00A12352"/>
    <w:rsid w:val="00A13CB0"/>
    <w:rsid w:val="00A14FD8"/>
    <w:rsid w:val="00A15D53"/>
    <w:rsid w:val="00A15F46"/>
    <w:rsid w:val="00A15FB8"/>
    <w:rsid w:val="00A204DC"/>
    <w:rsid w:val="00A22CA1"/>
    <w:rsid w:val="00A23DA9"/>
    <w:rsid w:val="00A24601"/>
    <w:rsid w:val="00A249CC"/>
    <w:rsid w:val="00A33A19"/>
    <w:rsid w:val="00A34D46"/>
    <w:rsid w:val="00A35A56"/>
    <w:rsid w:val="00A37B9E"/>
    <w:rsid w:val="00A4169F"/>
    <w:rsid w:val="00A4595D"/>
    <w:rsid w:val="00A4605B"/>
    <w:rsid w:val="00A51146"/>
    <w:rsid w:val="00A54422"/>
    <w:rsid w:val="00A5509B"/>
    <w:rsid w:val="00A564B2"/>
    <w:rsid w:val="00A61D3A"/>
    <w:rsid w:val="00A6384D"/>
    <w:rsid w:val="00A6581B"/>
    <w:rsid w:val="00A66833"/>
    <w:rsid w:val="00A70B4C"/>
    <w:rsid w:val="00A70DCF"/>
    <w:rsid w:val="00A72437"/>
    <w:rsid w:val="00A73FDF"/>
    <w:rsid w:val="00A76CE0"/>
    <w:rsid w:val="00A824B9"/>
    <w:rsid w:val="00A82905"/>
    <w:rsid w:val="00A85EE4"/>
    <w:rsid w:val="00A8654B"/>
    <w:rsid w:val="00A86786"/>
    <w:rsid w:val="00A870DD"/>
    <w:rsid w:val="00A94248"/>
    <w:rsid w:val="00A94FD3"/>
    <w:rsid w:val="00A96157"/>
    <w:rsid w:val="00A96261"/>
    <w:rsid w:val="00A969AF"/>
    <w:rsid w:val="00A9729E"/>
    <w:rsid w:val="00AA0C31"/>
    <w:rsid w:val="00AA1F69"/>
    <w:rsid w:val="00AA2D2D"/>
    <w:rsid w:val="00AA5B9B"/>
    <w:rsid w:val="00AA6357"/>
    <w:rsid w:val="00AA71BA"/>
    <w:rsid w:val="00AB1A67"/>
    <w:rsid w:val="00AB348F"/>
    <w:rsid w:val="00AB3ED0"/>
    <w:rsid w:val="00AB7D36"/>
    <w:rsid w:val="00AC0C5D"/>
    <w:rsid w:val="00AC1390"/>
    <w:rsid w:val="00AC4663"/>
    <w:rsid w:val="00AC4899"/>
    <w:rsid w:val="00AC659E"/>
    <w:rsid w:val="00AD2EDB"/>
    <w:rsid w:val="00AD6E01"/>
    <w:rsid w:val="00AE0301"/>
    <w:rsid w:val="00AE1C37"/>
    <w:rsid w:val="00AE1DD2"/>
    <w:rsid w:val="00AE2A4C"/>
    <w:rsid w:val="00AE4106"/>
    <w:rsid w:val="00AE4690"/>
    <w:rsid w:val="00AF2811"/>
    <w:rsid w:val="00AF3775"/>
    <w:rsid w:val="00AF414E"/>
    <w:rsid w:val="00AF60B6"/>
    <w:rsid w:val="00B00CAF"/>
    <w:rsid w:val="00B0206E"/>
    <w:rsid w:val="00B11AE2"/>
    <w:rsid w:val="00B12138"/>
    <w:rsid w:val="00B13991"/>
    <w:rsid w:val="00B17749"/>
    <w:rsid w:val="00B17AE9"/>
    <w:rsid w:val="00B17C05"/>
    <w:rsid w:val="00B20334"/>
    <w:rsid w:val="00B20819"/>
    <w:rsid w:val="00B225B9"/>
    <w:rsid w:val="00B22CF5"/>
    <w:rsid w:val="00B24AB1"/>
    <w:rsid w:val="00B262EB"/>
    <w:rsid w:val="00B26641"/>
    <w:rsid w:val="00B33838"/>
    <w:rsid w:val="00B36BD9"/>
    <w:rsid w:val="00B37A57"/>
    <w:rsid w:val="00B41A4C"/>
    <w:rsid w:val="00B43095"/>
    <w:rsid w:val="00B446CA"/>
    <w:rsid w:val="00B460A9"/>
    <w:rsid w:val="00B4632F"/>
    <w:rsid w:val="00B5093C"/>
    <w:rsid w:val="00B54356"/>
    <w:rsid w:val="00B55FE5"/>
    <w:rsid w:val="00B60F2B"/>
    <w:rsid w:val="00B6134B"/>
    <w:rsid w:val="00B62917"/>
    <w:rsid w:val="00B63750"/>
    <w:rsid w:val="00B6380B"/>
    <w:rsid w:val="00B66B78"/>
    <w:rsid w:val="00B70E63"/>
    <w:rsid w:val="00B74609"/>
    <w:rsid w:val="00B7496A"/>
    <w:rsid w:val="00B752B2"/>
    <w:rsid w:val="00B777C4"/>
    <w:rsid w:val="00B80E39"/>
    <w:rsid w:val="00B81519"/>
    <w:rsid w:val="00B81A41"/>
    <w:rsid w:val="00B824A5"/>
    <w:rsid w:val="00B8588F"/>
    <w:rsid w:val="00B858F1"/>
    <w:rsid w:val="00B85E31"/>
    <w:rsid w:val="00B8684C"/>
    <w:rsid w:val="00B946B4"/>
    <w:rsid w:val="00B96ED6"/>
    <w:rsid w:val="00BA322E"/>
    <w:rsid w:val="00BA4961"/>
    <w:rsid w:val="00BA5A2D"/>
    <w:rsid w:val="00BA5B8F"/>
    <w:rsid w:val="00BB2B54"/>
    <w:rsid w:val="00BC0D94"/>
    <w:rsid w:val="00BC199F"/>
    <w:rsid w:val="00BC1B06"/>
    <w:rsid w:val="00BC2866"/>
    <w:rsid w:val="00BC3CA1"/>
    <w:rsid w:val="00BC49E5"/>
    <w:rsid w:val="00BC6DB1"/>
    <w:rsid w:val="00BC7E29"/>
    <w:rsid w:val="00BD3194"/>
    <w:rsid w:val="00BD5FA8"/>
    <w:rsid w:val="00BD64EC"/>
    <w:rsid w:val="00BE1C1F"/>
    <w:rsid w:val="00BE23E5"/>
    <w:rsid w:val="00BE30B6"/>
    <w:rsid w:val="00BE31E6"/>
    <w:rsid w:val="00BE4C60"/>
    <w:rsid w:val="00BF7376"/>
    <w:rsid w:val="00BF757E"/>
    <w:rsid w:val="00BF7C0E"/>
    <w:rsid w:val="00BF7F5A"/>
    <w:rsid w:val="00C0292A"/>
    <w:rsid w:val="00C06612"/>
    <w:rsid w:val="00C139B5"/>
    <w:rsid w:val="00C13B4B"/>
    <w:rsid w:val="00C1681D"/>
    <w:rsid w:val="00C17719"/>
    <w:rsid w:val="00C20730"/>
    <w:rsid w:val="00C20A92"/>
    <w:rsid w:val="00C210DD"/>
    <w:rsid w:val="00C214C4"/>
    <w:rsid w:val="00C2470A"/>
    <w:rsid w:val="00C25F47"/>
    <w:rsid w:val="00C26A7D"/>
    <w:rsid w:val="00C30135"/>
    <w:rsid w:val="00C308D6"/>
    <w:rsid w:val="00C308ED"/>
    <w:rsid w:val="00C30D3D"/>
    <w:rsid w:val="00C335D8"/>
    <w:rsid w:val="00C33F9D"/>
    <w:rsid w:val="00C3733E"/>
    <w:rsid w:val="00C405A8"/>
    <w:rsid w:val="00C43F90"/>
    <w:rsid w:val="00C447F0"/>
    <w:rsid w:val="00C50E12"/>
    <w:rsid w:val="00C51A1E"/>
    <w:rsid w:val="00C54491"/>
    <w:rsid w:val="00C54A96"/>
    <w:rsid w:val="00C56026"/>
    <w:rsid w:val="00C56841"/>
    <w:rsid w:val="00C57B2F"/>
    <w:rsid w:val="00C60625"/>
    <w:rsid w:val="00C63B43"/>
    <w:rsid w:val="00C705C7"/>
    <w:rsid w:val="00C71B43"/>
    <w:rsid w:val="00C72253"/>
    <w:rsid w:val="00C74D8F"/>
    <w:rsid w:val="00C751A9"/>
    <w:rsid w:val="00C754FF"/>
    <w:rsid w:val="00C766DD"/>
    <w:rsid w:val="00C76BDF"/>
    <w:rsid w:val="00C775CE"/>
    <w:rsid w:val="00C8030E"/>
    <w:rsid w:val="00C8395F"/>
    <w:rsid w:val="00C8535E"/>
    <w:rsid w:val="00C86C9E"/>
    <w:rsid w:val="00C87F10"/>
    <w:rsid w:val="00C91697"/>
    <w:rsid w:val="00C92EAA"/>
    <w:rsid w:val="00C933AF"/>
    <w:rsid w:val="00C93860"/>
    <w:rsid w:val="00CA148F"/>
    <w:rsid w:val="00CA193A"/>
    <w:rsid w:val="00CA29F9"/>
    <w:rsid w:val="00CA3487"/>
    <w:rsid w:val="00CA3DCE"/>
    <w:rsid w:val="00CA7B4E"/>
    <w:rsid w:val="00CA7D3D"/>
    <w:rsid w:val="00CB0116"/>
    <w:rsid w:val="00CB6B73"/>
    <w:rsid w:val="00CC00C3"/>
    <w:rsid w:val="00CC218D"/>
    <w:rsid w:val="00CC6334"/>
    <w:rsid w:val="00CC677A"/>
    <w:rsid w:val="00CD0045"/>
    <w:rsid w:val="00CD008E"/>
    <w:rsid w:val="00CD2947"/>
    <w:rsid w:val="00CD49B4"/>
    <w:rsid w:val="00CD6EDC"/>
    <w:rsid w:val="00CE2D1F"/>
    <w:rsid w:val="00CE78D5"/>
    <w:rsid w:val="00CF1561"/>
    <w:rsid w:val="00CF1A40"/>
    <w:rsid w:val="00CF36EF"/>
    <w:rsid w:val="00CF4AE2"/>
    <w:rsid w:val="00CF5BC0"/>
    <w:rsid w:val="00D010CE"/>
    <w:rsid w:val="00D037E1"/>
    <w:rsid w:val="00D04B73"/>
    <w:rsid w:val="00D1110F"/>
    <w:rsid w:val="00D12828"/>
    <w:rsid w:val="00D15B10"/>
    <w:rsid w:val="00D17C8E"/>
    <w:rsid w:val="00D20296"/>
    <w:rsid w:val="00D207C6"/>
    <w:rsid w:val="00D23E20"/>
    <w:rsid w:val="00D26878"/>
    <w:rsid w:val="00D30FA6"/>
    <w:rsid w:val="00D32842"/>
    <w:rsid w:val="00D341E7"/>
    <w:rsid w:val="00D3588D"/>
    <w:rsid w:val="00D37831"/>
    <w:rsid w:val="00D407EB"/>
    <w:rsid w:val="00D40EF8"/>
    <w:rsid w:val="00D44DF9"/>
    <w:rsid w:val="00D454AB"/>
    <w:rsid w:val="00D47DBA"/>
    <w:rsid w:val="00D5319F"/>
    <w:rsid w:val="00D536AB"/>
    <w:rsid w:val="00D53CCA"/>
    <w:rsid w:val="00D54E0C"/>
    <w:rsid w:val="00D5537A"/>
    <w:rsid w:val="00D60380"/>
    <w:rsid w:val="00D62314"/>
    <w:rsid w:val="00D62AEC"/>
    <w:rsid w:val="00D70CF0"/>
    <w:rsid w:val="00D71136"/>
    <w:rsid w:val="00D77F36"/>
    <w:rsid w:val="00D81834"/>
    <w:rsid w:val="00D81D99"/>
    <w:rsid w:val="00D86954"/>
    <w:rsid w:val="00D87649"/>
    <w:rsid w:val="00D876C0"/>
    <w:rsid w:val="00D9057D"/>
    <w:rsid w:val="00D917CC"/>
    <w:rsid w:val="00D9732E"/>
    <w:rsid w:val="00DA026E"/>
    <w:rsid w:val="00DA1379"/>
    <w:rsid w:val="00DA4083"/>
    <w:rsid w:val="00DA576E"/>
    <w:rsid w:val="00DB0A86"/>
    <w:rsid w:val="00DB0D3E"/>
    <w:rsid w:val="00DB57B7"/>
    <w:rsid w:val="00DC33CF"/>
    <w:rsid w:val="00DC3415"/>
    <w:rsid w:val="00DC46A2"/>
    <w:rsid w:val="00DC6A3A"/>
    <w:rsid w:val="00DD26C9"/>
    <w:rsid w:val="00DD2B87"/>
    <w:rsid w:val="00DD3DE6"/>
    <w:rsid w:val="00DD5886"/>
    <w:rsid w:val="00DD7DA4"/>
    <w:rsid w:val="00DE4534"/>
    <w:rsid w:val="00DE6ADB"/>
    <w:rsid w:val="00DF0264"/>
    <w:rsid w:val="00DF0FC2"/>
    <w:rsid w:val="00DF1565"/>
    <w:rsid w:val="00DF3BAC"/>
    <w:rsid w:val="00DF3D3A"/>
    <w:rsid w:val="00DF4228"/>
    <w:rsid w:val="00DF60B9"/>
    <w:rsid w:val="00E06670"/>
    <w:rsid w:val="00E17266"/>
    <w:rsid w:val="00E2273F"/>
    <w:rsid w:val="00E22743"/>
    <w:rsid w:val="00E2275B"/>
    <w:rsid w:val="00E2447F"/>
    <w:rsid w:val="00E248D9"/>
    <w:rsid w:val="00E25356"/>
    <w:rsid w:val="00E26831"/>
    <w:rsid w:val="00E30577"/>
    <w:rsid w:val="00E40E53"/>
    <w:rsid w:val="00E47752"/>
    <w:rsid w:val="00E52801"/>
    <w:rsid w:val="00E52BC1"/>
    <w:rsid w:val="00E53030"/>
    <w:rsid w:val="00E5567D"/>
    <w:rsid w:val="00E56652"/>
    <w:rsid w:val="00E616E0"/>
    <w:rsid w:val="00E62C9E"/>
    <w:rsid w:val="00E63369"/>
    <w:rsid w:val="00E63569"/>
    <w:rsid w:val="00E7030A"/>
    <w:rsid w:val="00E74FA3"/>
    <w:rsid w:val="00E80756"/>
    <w:rsid w:val="00E81F96"/>
    <w:rsid w:val="00E8302B"/>
    <w:rsid w:val="00E8364F"/>
    <w:rsid w:val="00E83E34"/>
    <w:rsid w:val="00E847A3"/>
    <w:rsid w:val="00E84E34"/>
    <w:rsid w:val="00E84F8C"/>
    <w:rsid w:val="00E85360"/>
    <w:rsid w:val="00E85641"/>
    <w:rsid w:val="00E85DA4"/>
    <w:rsid w:val="00E86B42"/>
    <w:rsid w:val="00E86E92"/>
    <w:rsid w:val="00E94940"/>
    <w:rsid w:val="00E949AC"/>
    <w:rsid w:val="00E9527B"/>
    <w:rsid w:val="00E95892"/>
    <w:rsid w:val="00E97354"/>
    <w:rsid w:val="00EA0547"/>
    <w:rsid w:val="00EA3385"/>
    <w:rsid w:val="00EA6408"/>
    <w:rsid w:val="00EB2530"/>
    <w:rsid w:val="00EB330C"/>
    <w:rsid w:val="00EB3EED"/>
    <w:rsid w:val="00EB51B7"/>
    <w:rsid w:val="00EB6D1F"/>
    <w:rsid w:val="00EC0483"/>
    <w:rsid w:val="00EC1211"/>
    <w:rsid w:val="00EC2B63"/>
    <w:rsid w:val="00EC33A4"/>
    <w:rsid w:val="00EC428C"/>
    <w:rsid w:val="00EC64E6"/>
    <w:rsid w:val="00EC69E7"/>
    <w:rsid w:val="00ED0897"/>
    <w:rsid w:val="00ED1170"/>
    <w:rsid w:val="00ED15BE"/>
    <w:rsid w:val="00ED24E7"/>
    <w:rsid w:val="00ED73FF"/>
    <w:rsid w:val="00ED7F01"/>
    <w:rsid w:val="00EE0CA1"/>
    <w:rsid w:val="00EE19F4"/>
    <w:rsid w:val="00EE3BB8"/>
    <w:rsid w:val="00EE4612"/>
    <w:rsid w:val="00EE51DE"/>
    <w:rsid w:val="00EE53B5"/>
    <w:rsid w:val="00EE609F"/>
    <w:rsid w:val="00EE64BC"/>
    <w:rsid w:val="00EE798A"/>
    <w:rsid w:val="00EF013E"/>
    <w:rsid w:val="00EF19BF"/>
    <w:rsid w:val="00EF1CDE"/>
    <w:rsid w:val="00EF27F3"/>
    <w:rsid w:val="00EF5E01"/>
    <w:rsid w:val="00EF6EC0"/>
    <w:rsid w:val="00EF7BB5"/>
    <w:rsid w:val="00F0114C"/>
    <w:rsid w:val="00F02058"/>
    <w:rsid w:val="00F026A0"/>
    <w:rsid w:val="00F0343C"/>
    <w:rsid w:val="00F04CE5"/>
    <w:rsid w:val="00F05B0F"/>
    <w:rsid w:val="00F11C5F"/>
    <w:rsid w:val="00F13395"/>
    <w:rsid w:val="00F13514"/>
    <w:rsid w:val="00F1360F"/>
    <w:rsid w:val="00F147B6"/>
    <w:rsid w:val="00F16AA8"/>
    <w:rsid w:val="00F213AB"/>
    <w:rsid w:val="00F21791"/>
    <w:rsid w:val="00F26421"/>
    <w:rsid w:val="00F3226A"/>
    <w:rsid w:val="00F33DB0"/>
    <w:rsid w:val="00F37975"/>
    <w:rsid w:val="00F413B1"/>
    <w:rsid w:val="00F432D0"/>
    <w:rsid w:val="00F449F2"/>
    <w:rsid w:val="00F45DB8"/>
    <w:rsid w:val="00F5314F"/>
    <w:rsid w:val="00F54D29"/>
    <w:rsid w:val="00F62BCD"/>
    <w:rsid w:val="00F6782B"/>
    <w:rsid w:val="00F7237E"/>
    <w:rsid w:val="00F72F9F"/>
    <w:rsid w:val="00F730C3"/>
    <w:rsid w:val="00F74B77"/>
    <w:rsid w:val="00F764FE"/>
    <w:rsid w:val="00F80625"/>
    <w:rsid w:val="00F827B6"/>
    <w:rsid w:val="00F840E7"/>
    <w:rsid w:val="00F87E2D"/>
    <w:rsid w:val="00F92BE5"/>
    <w:rsid w:val="00F93282"/>
    <w:rsid w:val="00F95BBA"/>
    <w:rsid w:val="00F95F3F"/>
    <w:rsid w:val="00F96B8A"/>
    <w:rsid w:val="00FA0574"/>
    <w:rsid w:val="00FA16A6"/>
    <w:rsid w:val="00FB3A89"/>
    <w:rsid w:val="00FB4C5A"/>
    <w:rsid w:val="00FB68D3"/>
    <w:rsid w:val="00FB7436"/>
    <w:rsid w:val="00FC2355"/>
    <w:rsid w:val="00FC4B75"/>
    <w:rsid w:val="00FD56F6"/>
    <w:rsid w:val="00FD75B4"/>
    <w:rsid w:val="00FE0FCA"/>
    <w:rsid w:val="00FE1A21"/>
    <w:rsid w:val="00FE2627"/>
    <w:rsid w:val="00FE7554"/>
    <w:rsid w:val="00FF17FE"/>
    <w:rsid w:val="00FF216E"/>
    <w:rsid w:val="00FF6D05"/>
    <w:rsid w:val="111545E4"/>
    <w:rsid w:val="1EC72C31"/>
    <w:rsid w:val="27391B6B"/>
    <w:rsid w:val="3FEC0F24"/>
    <w:rsid w:val="42200080"/>
    <w:rsid w:val="43F328C2"/>
    <w:rsid w:val="488C513A"/>
    <w:rsid w:val="4A674F17"/>
    <w:rsid w:val="55410F72"/>
    <w:rsid w:val="59D40607"/>
    <w:rsid w:val="736019CA"/>
    <w:rsid w:val="FDFF8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0"/>
      <w:szCs w:val="30"/>
    </w:rPr>
  </w:style>
  <w:style w:type="paragraph" w:styleId="5">
    <w:name w:val="heading 4"/>
    <w:basedOn w:val="1"/>
    <w:next w:val="1"/>
    <w:link w:val="30"/>
    <w:qFormat/>
    <w:uiPriority w:val="0"/>
    <w:pPr>
      <w:keepNext/>
      <w:keepLines/>
      <w:spacing w:before="280" w:after="290" w:line="376" w:lineRule="auto"/>
      <w:ind w:left="864" w:hanging="864"/>
      <w:outlineLvl w:val="3"/>
    </w:pPr>
    <w:rPr>
      <w:rFonts w:ascii="宋体" w:hAnsi="宋体"/>
      <w:b/>
      <w:bCs/>
      <w:sz w:val="28"/>
      <w:szCs w:val="28"/>
    </w:rPr>
  </w:style>
  <w:style w:type="paragraph" w:styleId="6">
    <w:name w:val="heading 5"/>
    <w:basedOn w:val="1"/>
    <w:next w:val="1"/>
    <w:link w:val="31"/>
    <w:qFormat/>
    <w:uiPriority w:val="0"/>
    <w:pPr>
      <w:keepNext/>
      <w:keepLines/>
      <w:spacing w:before="280" w:after="290" w:line="376" w:lineRule="auto"/>
      <w:ind w:left="2142" w:hanging="1008"/>
      <w:outlineLvl w:val="4"/>
    </w:pPr>
    <w:rPr>
      <w:b/>
      <w:bCs/>
      <w:sz w:val="28"/>
      <w:szCs w:val="28"/>
    </w:rPr>
  </w:style>
  <w:style w:type="paragraph" w:styleId="7">
    <w:name w:val="heading 6"/>
    <w:basedOn w:val="1"/>
    <w:next w:val="1"/>
    <w:link w:val="32"/>
    <w:qFormat/>
    <w:uiPriority w:val="0"/>
    <w:pPr>
      <w:keepNext/>
      <w:keepLines/>
      <w:spacing w:before="240" w:after="64" w:line="320" w:lineRule="auto"/>
      <w:ind w:left="1152" w:hanging="1152"/>
      <w:outlineLvl w:val="5"/>
    </w:pPr>
    <w:rPr>
      <w:rFonts w:ascii="等线 Light" w:hAnsi="等线 Light" w:eastAsia="等线 Light"/>
      <w:b/>
      <w:bCs/>
      <w:sz w:val="24"/>
    </w:rPr>
  </w:style>
  <w:style w:type="paragraph" w:styleId="8">
    <w:name w:val="heading 7"/>
    <w:basedOn w:val="1"/>
    <w:next w:val="1"/>
    <w:link w:val="33"/>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34"/>
    <w:qFormat/>
    <w:uiPriority w:val="0"/>
    <w:pPr>
      <w:keepNext/>
      <w:keepLines/>
      <w:spacing w:before="240" w:after="64" w:line="320" w:lineRule="auto"/>
      <w:ind w:left="1440" w:hanging="1440"/>
      <w:outlineLvl w:val="7"/>
    </w:pPr>
    <w:rPr>
      <w:rFonts w:ascii="等线 Light" w:hAnsi="等线 Light" w:eastAsia="等线 Light"/>
      <w:sz w:val="24"/>
    </w:rPr>
  </w:style>
  <w:style w:type="paragraph" w:styleId="10">
    <w:name w:val="heading 9"/>
    <w:basedOn w:val="1"/>
    <w:next w:val="1"/>
    <w:link w:val="35"/>
    <w:qFormat/>
    <w:uiPriority w:val="0"/>
    <w:pPr>
      <w:keepNext/>
      <w:keepLines/>
      <w:spacing w:before="240" w:after="64" w:line="320" w:lineRule="auto"/>
      <w:ind w:left="1584" w:hanging="1584"/>
      <w:outlineLvl w:val="8"/>
    </w:pPr>
    <w:rPr>
      <w:rFonts w:ascii="等线 Light" w:hAnsi="等线 Light" w:eastAsia="等线 Light"/>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6"/>
    <w:qFormat/>
    <w:uiPriority w:val="99"/>
    <w:pPr>
      <w:spacing w:beforeLines="50" w:line="360" w:lineRule="auto"/>
      <w:ind w:firstLine="512" w:firstLineChars="200"/>
    </w:pPr>
    <w:rPr>
      <w:spacing w:val="8"/>
      <w:sz w:val="24"/>
      <w:szCs w:val="20"/>
    </w:rPr>
  </w:style>
  <w:style w:type="paragraph" w:styleId="12">
    <w:name w:val="annotation text"/>
    <w:basedOn w:val="1"/>
    <w:link w:val="37"/>
    <w:unhideWhenUsed/>
    <w:qFormat/>
    <w:uiPriority w:val="0"/>
    <w:pPr>
      <w:jc w:val="left"/>
    </w:pPr>
    <w:rPr>
      <w:kern w:val="0"/>
      <w:sz w:val="20"/>
    </w:rPr>
  </w:style>
  <w:style w:type="paragraph" w:styleId="13">
    <w:name w:val="Body Text"/>
    <w:basedOn w:val="1"/>
    <w:link w:val="75"/>
    <w:unhideWhenUsed/>
    <w:qFormat/>
    <w:uiPriority w:val="99"/>
    <w:pPr>
      <w:widowControl/>
      <w:snapToGrid w:val="0"/>
      <w:spacing w:after="80" w:line="240" w:lineRule="auto"/>
    </w:pPr>
    <w:rPr>
      <w:rFonts w:asciiTheme="minorHAnsi" w:hAnsiTheme="minorHAnsi" w:eastAsiaTheme="minorEastAsia" w:cstheme="minorBidi"/>
      <w:kern w:val="0"/>
      <w:sz w:val="20"/>
      <w:szCs w:val="22"/>
      <w:lang w:val="en-SG"/>
    </w:rPr>
  </w:style>
  <w:style w:type="paragraph" w:styleId="14">
    <w:name w:val="Plain Text"/>
    <w:basedOn w:val="1"/>
    <w:link w:val="38"/>
    <w:qFormat/>
    <w:uiPriority w:val="0"/>
    <w:rPr>
      <w:rFonts w:ascii="Calibri" w:hAnsi="Courier New"/>
      <w:szCs w:val="20"/>
    </w:rPr>
  </w:style>
  <w:style w:type="paragraph" w:styleId="15">
    <w:name w:val="Balloon Text"/>
    <w:basedOn w:val="1"/>
    <w:link w:val="39"/>
    <w:qFormat/>
    <w:uiPriority w:val="0"/>
    <w:rPr>
      <w:sz w:val="18"/>
      <w:szCs w:val="18"/>
    </w:rPr>
  </w:style>
  <w:style w:type="paragraph" w:styleId="16">
    <w:name w:val="footer"/>
    <w:basedOn w:val="1"/>
    <w:link w:val="40"/>
    <w:qFormat/>
    <w:uiPriority w:val="0"/>
    <w:pPr>
      <w:tabs>
        <w:tab w:val="center" w:pos="4153"/>
        <w:tab w:val="right" w:pos="8306"/>
      </w:tabs>
      <w:snapToGrid w:val="0"/>
      <w:jc w:val="left"/>
    </w:pPr>
    <w:rPr>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65"/>
    <w:qFormat/>
    <w:uiPriority w:val="0"/>
    <w:pPr>
      <w:spacing w:beforeLines="50" w:after="60" w:line="312" w:lineRule="auto"/>
      <w:ind w:firstLine="200" w:firstLineChars="200"/>
      <w:jc w:val="center"/>
      <w:outlineLvl w:val="1"/>
    </w:pPr>
    <w:rPr>
      <w:rFonts w:ascii="Cambria" w:hAnsi="Cambria"/>
      <w:b/>
      <w:bCs/>
      <w:kern w:val="28"/>
      <w:sz w:val="32"/>
      <w:szCs w:val="32"/>
      <w:lang w:eastAsia="en-US"/>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FollowedHyperlink"/>
    <w:qFormat/>
    <w:uiPriority w:val="0"/>
    <w:rPr>
      <w:color w:val="800080"/>
      <w:u w:val="single"/>
    </w:rPr>
  </w:style>
  <w:style w:type="character" w:styleId="24">
    <w:name w:val="Emphasis"/>
    <w:basedOn w:val="22"/>
    <w:qFormat/>
    <w:uiPriority w:val="20"/>
    <w:rPr>
      <w:i/>
      <w:iCs/>
    </w:rPr>
  </w:style>
  <w:style w:type="character" w:styleId="25">
    <w:name w:val="Hyperlink"/>
    <w:qFormat/>
    <w:uiPriority w:val="0"/>
    <w:rPr>
      <w:color w:val="0563C1"/>
      <w:u w:val="single"/>
    </w:rPr>
  </w:style>
  <w:style w:type="character" w:styleId="26">
    <w:name w:val="annotation reference"/>
    <w:unhideWhenUsed/>
    <w:qFormat/>
    <w:uiPriority w:val="99"/>
    <w:rPr>
      <w:sz w:val="21"/>
      <w:szCs w:val="21"/>
    </w:rPr>
  </w:style>
  <w:style w:type="character" w:customStyle="1" w:styleId="27">
    <w:name w:val="标题 1 Char"/>
    <w:link w:val="2"/>
    <w:qFormat/>
    <w:uiPriority w:val="0"/>
    <w:rPr>
      <w:b/>
      <w:bCs/>
      <w:kern w:val="44"/>
      <w:sz w:val="44"/>
      <w:szCs w:val="44"/>
    </w:rPr>
  </w:style>
  <w:style w:type="character" w:customStyle="1" w:styleId="28">
    <w:name w:val="标题 2 Char"/>
    <w:link w:val="3"/>
    <w:qFormat/>
    <w:uiPriority w:val="0"/>
    <w:rPr>
      <w:rFonts w:ascii="等线 Light" w:hAnsi="等线 Light" w:eastAsia="等线 Light" w:cs="Times New Roman"/>
      <w:b/>
      <w:bCs/>
      <w:kern w:val="2"/>
      <w:sz w:val="32"/>
      <w:szCs w:val="32"/>
    </w:rPr>
  </w:style>
  <w:style w:type="character" w:customStyle="1" w:styleId="29">
    <w:name w:val="标题 3 Char"/>
    <w:link w:val="4"/>
    <w:qFormat/>
    <w:uiPriority w:val="0"/>
    <w:rPr>
      <w:b/>
      <w:bCs/>
      <w:kern w:val="2"/>
      <w:sz w:val="30"/>
      <w:szCs w:val="30"/>
    </w:rPr>
  </w:style>
  <w:style w:type="character" w:customStyle="1" w:styleId="30">
    <w:name w:val="标题 4 Char"/>
    <w:link w:val="5"/>
    <w:qFormat/>
    <w:uiPriority w:val="0"/>
    <w:rPr>
      <w:rFonts w:ascii="宋体" w:hAnsi="宋体"/>
      <w:b/>
      <w:bCs/>
      <w:kern w:val="2"/>
      <w:sz w:val="28"/>
      <w:szCs w:val="28"/>
    </w:rPr>
  </w:style>
  <w:style w:type="character" w:customStyle="1" w:styleId="31">
    <w:name w:val="标题 5 Char"/>
    <w:link w:val="6"/>
    <w:qFormat/>
    <w:uiPriority w:val="0"/>
    <w:rPr>
      <w:b/>
      <w:bCs/>
      <w:kern w:val="2"/>
      <w:sz w:val="28"/>
      <w:szCs w:val="28"/>
    </w:rPr>
  </w:style>
  <w:style w:type="character" w:customStyle="1" w:styleId="32">
    <w:name w:val="标题 6 Char"/>
    <w:link w:val="7"/>
    <w:qFormat/>
    <w:uiPriority w:val="0"/>
    <w:rPr>
      <w:rFonts w:ascii="等线 Light" w:hAnsi="等线 Light" w:eastAsia="等线 Light"/>
      <w:b/>
      <w:bCs/>
      <w:kern w:val="2"/>
      <w:sz w:val="24"/>
      <w:szCs w:val="24"/>
    </w:rPr>
  </w:style>
  <w:style w:type="character" w:customStyle="1" w:styleId="33">
    <w:name w:val="标题 7 Char"/>
    <w:link w:val="8"/>
    <w:qFormat/>
    <w:uiPriority w:val="0"/>
    <w:rPr>
      <w:b/>
      <w:bCs/>
      <w:kern w:val="2"/>
      <w:sz w:val="24"/>
      <w:szCs w:val="24"/>
    </w:rPr>
  </w:style>
  <w:style w:type="character" w:customStyle="1" w:styleId="34">
    <w:name w:val="标题 8 Char"/>
    <w:link w:val="9"/>
    <w:qFormat/>
    <w:uiPriority w:val="0"/>
    <w:rPr>
      <w:rFonts w:ascii="等线 Light" w:hAnsi="等线 Light" w:eastAsia="等线 Light"/>
      <w:kern w:val="2"/>
      <w:sz w:val="24"/>
      <w:szCs w:val="24"/>
    </w:rPr>
  </w:style>
  <w:style w:type="character" w:customStyle="1" w:styleId="35">
    <w:name w:val="标题 9 Char"/>
    <w:link w:val="10"/>
    <w:qFormat/>
    <w:uiPriority w:val="0"/>
    <w:rPr>
      <w:rFonts w:ascii="等线 Light" w:hAnsi="等线 Light" w:eastAsia="等线 Light"/>
      <w:kern w:val="2"/>
      <w:sz w:val="21"/>
      <w:szCs w:val="21"/>
    </w:rPr>
  </w:style>
  <w:style w:type="character" w:customStyle="1" w:styleId="36">
    <w:name w:val="正文缩进 Char"/>
    <w:link w:val="11"/>
    <w:qFormat/>
    <w:uiPriority w:val="99"/>
    <w:rPr>
      <w:spacing w:val="8"/>
      <w:kern w:val="2"/>
      <w:sz w:val="24"/>
      <w:lang w:val="en-US" w:eastAsia="zh-CN"/>
    </w:rPr>
  </w:style>
  <w:style w:type="character" w:customStyle="1" w:styleId="37">
    <w:name w:val="批注文字 Char"/>
    <w:link w:val="12"/>
    <w:qFormat/>
    <w:uiPriority w:val="0"/>
    <w:rPr>
      <w:szCs w:val="24"/>
    </w:rPr>
  </w:style>
  <w:style w:type="character" w:customStyle="1" w:styleId="38">
    <w:name w:val="纯文本 Char"/>
    <w:link w:val="14"/>
    <w:qFormat/>
    <w:uiPriority w:val="0"/>
    <w:rPr>
      <w:rFonts w:ascii="Calibri" w:hAnsi="Courier New"/>
      <w:kern w:val="2"/>
      <w:sz w:val="21"/>
    </w:rPr>
  </w:style>
  <w:style w:type="character" w:customStyle="1" w:styleId="39">
    <w:name w:val="批注框文本 Char"/>
    <w:link w:val="15"/>
    <w:qFormat/>
    <w:uiPriority w:val="0"/>
    <w:rPr>
      <w:kern w:val="2"/>
      <w:sz w:val="18"/>
      <w:szCs w:val="18"/>
    </w:rPr>
  </w:style>
  <w:style w:type="character" w:customStyle="1" w:styleId="40">
    <w:name w:val="页脚 Char"/>
    <w:link w:val="16"/>
    <w:qFormat/>
    <w:uiPriority w:val="0"/>
    <w:rPr>
      <w:kern w:val="2"/>
      <w:sz w:val="18"/>
      <w:szCs w:val="18"/>
    </w:rPr>
  </w:style>
  <w:style w:type="character" w:customStyle="1" w:styleId="41">
    <w:name w:val="页眉 Char"/>
    <w:link w:val="17"/>
    <w:qFormat/>
    <w:uiPriority w:val="0"/>
    <w:rPr>
      <w:kern w:val="2"/>
      <w:sz w:val="18"/>
      <w:szCs w:val="18"/>
    </w:rPr>
  </w:style>
  <w:style w:type="character" w:customStyle="1" w:styleId="42">
    <w:name w:val="正文（首行缩进2字符） Char"/>
    <w:link w:val="43"/>
    <w:qFormat/>
    <w:uiPriority w:val="0"/>
    <w:rPr>
      <w:kern w:val="2"/>
      <w:sz w:val="24"/>
      <w:szCs w:val="24"/>
    </w:rPr>
  </w:style>
  <w:style w:type="paragraph" w:customStyle="1" w:styleId="43">
    <w:name w:val="正文（首行缩进2字符）"/>
    <w:basedOn w:val="1"/>
    <w:link w:val="42"/>
    <w:qFormat/>
    <w:uiPriority w:val="0"/>
    <w:pPr>
      <w:spacing w:line="360" w:lineRule="auto"/>
      <w:ind w:firstLine="480" w:firstLineChars="200"/>
    </w:pPr>
    <w:rPr>
      <w:sz w:val="24"/>
    </w:rPr>
  </w:style>
  <w:style w:type="character" w:customStyle="1" w:styleId="44">
    <w:name w:val="段落 Char1"/>
    <w:link w:val="45"/>
    <w:qFormat/>
    <w:uiPriority w:val="0"/>
    <w:rPr>
      <w:rFonts w:eastAsia="仿宋_GB2312"/>
      <w:sz w:val="24"/>
      <w:szCs w:val="24"/>
      <w:lang w:val="en-US" w:eastAsia="zh-CN" w:bidi="ar-SA"/>
    </w:rPr>
  </w:style>
  <w:style w:type="paragraph" w:customStyle="1" w:styleId="45">
    <w:name w:val="段落"/>
    <w:link w:val="44"/>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6">
    <w:name w:val="正文（安华金和） Char"/>
    <w:link w:val="47"/>
    <w:qFormat/>
    <w:uiPriority w:val="0"/>
    <w:rPr>
      <w:rFonts w:ascii="Arial" w:hAnsi="Arial"/>
      <w:sz w:val="21"/>
      <w:szCs w:val="21"/>
      <w:lang w:val="en-US" w:eastAsia="zh-CN" w:bidi="ar-SA"/>
    </w:rPr>
  </w:style>
  <w:style w:type="paragraph" w:customStyle="1" w:styleId="47">
    <w:name w:val="正文（安华金和）"/>
    <w:link w:val="46"/>
    <w:qFormat/>
    <w:uiPriority w:val="0"/>
    <w:pPr>
      <w:widowControl w:val="0"/>
      <w:spacing w:after="160" w:line="360" w:lineRule="auto"/>
      <w:ind w:firstLine="200"/>
    </w:pPr>
    <w:rPr>
      <w:rFonts w:ascii="Arial" w:hAnsi="Arial" w:eastAsia="宋体" w:cs="Times New Roman"/>
      <w:sz w:val="21"/>
      <w:szCs w:val="21"/>
      <w:lang w:val="en-US" w:eastAsia="zh-CN" w:bidi="ar-SA"/>
    </w:rPr>
  </w:style>
  <w:style w:type="character" w:customStyle="1" w:styleId="48">
    <w:name w:val="页脚 字符"/>
    <w:qFormat/>
    <w:uiPriority w:val="99"/>
  </w:style>
  <w:style w:type="character" w:customStyle="1" w:styleId="49">
    <w:name w:val="列表段落 字符"/>
    <w:link w:val="50"/>
    <w:qFormat/>
    <w:uiPriority w:val="34"/>
    <w:rPr>
      <w:rFonts w:ascii="等线" w:hAnsi="等线" w:eastAsia="等线"/>
      <w:kern w:val="2"/>
      <w:sz w:val="21"/>
      <w:szCs w:val="22"/>
    </w:rPr>
  </w:style>
  <w:style w:type="paragraph" w:customStyle="1" w:styleId="50">
    <w:name w:val="列表段落1"/>
    <w:basedOn w:val="1"/>
    <w:link w:val="49"/>
    <w:qFormat/>
    <w:uiPriority w:val="99"/>
    <w:pPr>
      <w:ind w:firstLine="420" w:firstLineChars="200"/>
    </w:pPr>
    <w:rPr>
      <w:rFonts w:ascii="等线" w:hAnsi="等线" w:eastAsia="等线"/>
      <w:szCs w:val="22"/>
    </w:rPr>
  </w:style>
  <w:style w:type="paragraph" w:customStyle="1" w:styleId="51">
    <w:name w:val="插图标注（安华金和）"/>
    <w:next w:val="1"/>
    <w:qFormat/>
    <w:uiPriority w:val="0"/>
    <w:pPr>
      <w:spacing w:after="156" w:line="259" w:lineRule="auto"/>
      <w:jc w:val="center"/>
    </w:pPr>
    <w:rPr>
      <w:rFonts w:ascii="Arial" w:hAnsi="Arial" w:eastAsia="宋体" w:cs="Arial"/>
      <w:sz w:val="21"/>
      <w:szCs w:val="21"/>
      <w:lang w:val="en-US" w:eastAsia="zh-CN" w:bidi="ar-SA"/>
    </w:rPr>
  </w:style>
  <w:style w:type="paragraph" w:customStyle="1" w:styleId="52">
    <w:name w:val="标题 2（DBSec）"/>
    <w:basedOn w:val="3"/>
    <w:next w:val="1"/>
    <w:qFormat/>
    <w:uiPriority w:val="0"/>
    <w:pPr>
      <w:spacing w:line="415" w:lineRule="auto"/>
      <w:ind w:left="794" w:leftChars="200" w:hanging="794"/>
      <w:jc w:val="left"/>
    </w:pPr>
    <w:rPr>
      <w:rFonts w:ascii="Arial" w:hAnsi="Arial" w:eastAsia="黑体"/>
      <w:bCs w:val="0"/>
    </w:rPr>
  </w:style>
  <w:style w:type="paragraph" w:customStyle="1" w:styleId="53">
    <w:name w:val="Default"/>
    <w:qFormat/>
    <w:uiPriority w:val="0"/>
    <w:pPr>
      <w:widowControl w:val="0"/>
      <w:autoSpaceDE w:val="0"/>
      <w:autoSpaceDN w:val="0"/>
      <w:adjustRightInd w:val="0"/>
      <w:spacing w:after="160" w:line="259" w:lineRule="auto"/>
    </w:pPr>
    <w:rPr>
      <w:rFonts w:ascii="微软雅黑" w:hAnsi="Times New Roman" w:eastAsia="微软雅黑" w:cs="微软雅黑"/>
      <w:color w:val="000000"/>
      <w:sz w:val="24"/>
      <w:szCs w:val="24"/>
      <w:lang w:val="en-US" w:eastAsia="zh-CN" w:bidi="ar-SA"/>
    </w:rPr>
  </w:style>
  <w:style w:type="paragraph" w:customStyle="1" w:styleId="54">
    <w:name w:val="_Style 27"/>
    <w:basedOn w:val="1"/>
    <w:next w:val="50"/>
    <w:qFormat/>
    <w:uiPriority w:val="34"/>
    <w:pPr>
      <w:widowControl/>
      <w:spacing w:line="240" w:lineRule="atLeast"/>
      <w:ind w:firstLine="420" w:firstLineChars="200"/>
    </w:pPr>
    <w:rPr>
      <w:rFonts w:ascii="Arial" w:hAnsi="Arial"/>
      <w:kern w:val="0"/>
      <w:szCs w:val="21"/>
    </w:rPr>
  </w:style>
  <w:style w:type="paragraph" w:customStyle="1" w:styleId="55">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6">
    <w:name w:val="标题 6（有编号）（安华金和）"/>
    <w:basedOn w:val="1"/>
    <w:next w:val="1"/>
    <w:qFormat/>
    <w:uiPriority w:val="0"/>
    <w:pPr>
      <w:keepNext/>
      <w:keepLines/>
      <w:spacing w:before="240" w:after="64" w:line="319" w:lineRule="auto"/>
      <w:ind w:hanging="1247"/>
      <w:jc w:val="left"/>
      <w:outlineLvl w:val="5"/>
    </w:pPr>
    <w:rPr>
      <w:rFonts w:ascii="Arial" w:hAnsi="Arial" w:eastAsia="黑体"/>
      <w:b/>
      <w:kern w:val="0"/>
    </w:rPr>
  </w:style>
  <w:style w:type="paragraph" w:customStyle="1" w:styleId="57">
    <w:name w:val="标题 4（DBSec）"/>
    <w:basedOn w:val="5"/>
    <w:next w:val="1"/>
    <w:qFormat/>
    <w:uiPriority w:val="0"/>
    <w:pPr>
      <w:widowControl/>
      <w:spacing w:after="156"/>
      <w:ind w:left="200" w:leftChars="200" w:hanging="420"/>
      <w:jc w:val="left"/>
    </w:pPr>
    <w:rPr>
      <w:rFonts w:ascii="Arial" w:hAnsi="Arial" w:eastAsia="黑体"/>
      <w:bCs w:val="0"/>
      <w:kern w:val="0"/>
    </w:rPr>
  </w:style>
  <w:style w:type="paragraph" w:customStyle="1" w:styleId="58">
    <w:name w:val="标题 3（DBSec）"/>
    <w:basedOn w:val="4"/>
    <w:next w:val="1"/>
    <w:qFormat/>
    <w:uiPriority w:val="0"/>
    <w:pPr>
      <w:tabs>
        <w:tab w:val="left" w:pos="960"/>
      </w:tabs>
      <w:spacing w:line="415" w:lineRule="auto"/>
      <w:ind w:left="200" w:leftChars="200" w:hanging="907"/>
      <w:jc w:val="left"/>
    </w:pPr>
    <w:rPr>
      <w:rFonts w:ascii="Arial" w:hAnsi="Arial" w:eastAsia="黑体"/>
      <w:bCs w:val="0"/>
      <w:kern w:val="0"/>
    </w:rPr>
  </w:style>
  <w:style w:type="paragraph" w:customStyle="1" w:styleId="59">
    <w:name w:val="标题 1（DBSec）"/>
    <w:basedOn w:val="2"/>
    <w:next w:val="1"/>
    <w:qFormat/>
    <w:uiPriority w:val="0"/>
    <w:pPr>
      <w:pageBreakBefore/>
      <w:numPr>
        <w:numId w:val="0"/>
      </w:numPr>
      <w:pBdr>
        <w:bottom w:val="single" w:color="auto" w:sz="48" w:space="1"/>
      </w:pBdr>
      <w:spacing w:before="600" w:line="576" w:lineRule="auto"/>
      <w:ind w:left="200" w:leftChars="200" w:hanging="420"/>
      <w:jc w:val="left"/>
    </w:pPr>
    <w:rPr>
      <w:rFonts w:ascii="Arial" w:hAnsi="Arial" w:eastAsia="黑体"/>
    </w:rPr>
  </w:style>
  <w:style w:type="paragraph" w:customStyle="1" w:styleId="60">
    <w:name w:val="彩色列表 - 着色 11"/>
    <w:basedOn w:val="1"/>
    <w:qFormat/>
    <w:uiPriority w:val="34"/>
    <w:pPr>
      <w:spacing w:line="360" w:lineRule="auto"/>
      <w:ind w:firstLine="420" w:firstLineChars="200"/>
    </w:pPr>
    <w:rPr>
      <w:rFonts w:ascii="Arial" w:hAnsi="Arial"/>
      <w:szCs w:val="21"/>
    </w:rPr>
  </w:style>
  <w:style w:type="paragraph" w:customStyle="1" w:styleId="61">
    <w:name w:val="表格标注（安华金和）"/>
    <w:basedOn w:val="51"/>
    <w:next w:val="1"/>
    <w:qFormat/>
    <w:uiPriority w:val="0"/>
  </w:style>
  <w:style w:type="paragraph" w:customStyle="1" w:styleId="62">
    <w:name w:val="标题 5（有编号）（安华金和）"/>
    <w:basedOn w:val="1"/>
    <w:next w:val="1"/>
    <w:qFormat/>
    <w:uiPriority w:val="0"/>
    <w:pPr>
      <w:keepNext/>
      <w:keepLines/>
      <w:spacing w:before="280" w:after="156" w:line="377" w:lineRule="auto"/>
      <w:ind w:hanging="1134"/>
      <w:jc w:val="left"/>
      <w:outlineLvl w:val="4"/>
    </w:pPr>
    <w:rPr>
      <w:rFonts w:ascii="Arial" w:hAnsi="Arial" w:eastAsia="黑体"/>
      <w:b/>
      <w:kern w:val="0"/>
      <w:sz w:val="24"/>
      <w:szCs w:val="28"/>
    </w:rPr>
  </w:style>
  <w:style w:type="paragraph" w:customStyle="1" w:styleId="63">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4">
    <w:name w:val="批注文字 字符"/>
    <w:qFormat/>
    <w:uiPriority w:val="99"/>
    <w:rPr>
      <w:kern w:val="2"/>
      <w:sz w:val="21"/>
      <w:szCs w:val="24"/>
    </w:rPr>
  </w:style>
  <w:style w:type="character" w:customStyle="1" w:styleId="65">
    <w:name w:val="副标题 Char"/>
    <w:link w:val="18"/>
    <w:qFormat/>
    <w:uiPriority w:val="0"/>
    <w:rPr>
      <w:rFonts w:ascii="Cambria" w:hAnsi="Cambria"/>
      <w:b/>
      <w:bCs/>
      <w:kern w:val="28"/>
      <w:sz w:val="32"/>
      <w:szCs w:val="32"/>
      <w:lang w:eastAsia="en-US"/>
    </w:rPr>
  </w:style>
  <w:style w:type="paragraph" w:customStyle="1" w:styleId="66">
    <w:name w:val="表格文字"/>
    <w:basedOn w:val="1"/>
    <w:qFormat/>
    <w:uiPriority w:val="0"/>
    <w:pPr>
      <w:spacing w:before="25" w:after="25"/>
      <w:jc w:val="left"/>
    </w:pPr>
    <w:rPr>
      <w:rFonts w:asciiTheme="minorHAnsi" w:hAnsiTheme="minorHAnsi" w:eastAsiaTheme="minorEastAsia" w:cstheme="minorBidi"/>
      <w:bCs/>
      <w:spacing w:val="10"/>
      <w:kern w:val="0"/>
      <w:szCs w:val="20"/>
    </w:rPr>
  </w:style>
  <w:style w:type="paragraph" w:customStyle="1" w:styleId="67">
    <w:name w:val="列出段落1"/>
    <w:basedOn w:val="1"/>
    <w:link w:val="68"/>
    <w:qFormat/>
    <w:uiPriority w:val="34"/>
    <w:pPr>
      <w:ind w:firstLine="420" w:firstLineChars="200"/>
    </w:pPr>
    <w:rPr>
      <w:rFonts w:ascii="Calibri" w:hAnsi="Calibri"/>
      <w:szCs w:val="22"/>
      <w:lang w:val="zh-CN"/>
    </w:rPr>
  </w:style>
  <w:style w:type="character" w:customStyle="1" w:styleId="68">
    <w:name w:val="列出段落 字符"/>
    <w:link w:val="67"/>
    <w:qFormat/>
    <w:uiPriority w:val="34"/>
    <w:rPr>
      <w:rFonts w:ascii="Calibri" w:hAnsi="Calibri"/>
      <w:kern w:val="2"/>
      <w:sz w:val="21"/>
      <w:szCs w:val="22"/>
      <w:lang w:val="zh-CN"/>
    </w:rPr>
  </w:style>
  <w:style w:type="table" w:customStyle="1" w:styleId="69">
    <w:name w:val="网格型1"/>
    <w:basedOn w:val="20"/>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
    <w:name w:val="Table Paragraph"/>
    <w:basedOn w:val="1"/>
    <w:qFormat/>
    <w:uiPriority w:val="99"/>
    <w:rPr>
      <w:rFonts w:ascii="宋体" w:hAnsi="宋体" w:cs="宋体"/>
      <w:lang w:val="zh-CN" w:bidi="zh-CN"/>
    </w:rPr>
  </w:style>
  <w:style w:type="paragraph" w:customStyle="1" w:styleId="71">
    <w:name w:val="正文 A"/>
    <w:qFormat/>
    <w:uiPriority w:val="0"/>
    <w:pPr>
      <w:widowControl w:val="0"/>
      <w:spacing w:after="160" w:line="360" w:lineRule="atLeast"/>
    </w:pPr>
    <w:rPr>
      <w:rFonts w:hint="eastAsia" w:ascii="Arial Unicode MS" w:hAnsi="Arial Unicode MS" w:eastAsia="Times New Roman" w:cs="Arial Unicode MS"/>
      <w:color w:val="000000"/>
      <w:sz w:val="24"/>
      <w:szCs w:val="24"/>
      <w:u w:color="000000"/>
      <w:lang w:val="en-US" w:eastAsia="zh-CN" w:bidi="ar-SA"/>
    </w:rPr>
  </w:style>
  <w:style w:type="paragraph" w:customStyle="1" w:styleId="72">
    <w:name w:val="列表段落11"/>
    <w:basedOn w:val="1"/>
    <w:unhideWhenUsed/>
    <w:qFormat/>
    <w:uiPriority w:val="99"/>
    <w:pPr>
      <w:spacing w:line="300" w:lineRule="exact"/>
      <w:ind w:firstLine="420" w:firstLineChars="200"/>
    </w:pPr>
    <w:rPr>
      <w:rFonts w:ascii="Calibri" w:hAnsi="Calibri"/>
      <w:szCs w:val="22"/>
    </w:rPr>
  </w:style>
  <w:style w:type="paragraph" w:customStyle="1" w:styleId="73">
    <w:name w:val="p0"/>
    <w:basedOn w:val="1"/>
    <w:qFormat/>
    <w:uiPriority w:val="0"/>
    <w:pPr>
      <w:widowControl/>
      <w:spacing w:before="100" w:beforeAutospacing="1" w:after="100" w:afterAutospacing="1" w:line="300" w:lineRule="exact"/>
      <w:jc w:val="left"/>
    </w:pPr>
    <w:rPr>
      <w:rFonts w:ascii="宋体" w:hAnsi="宋体" w:cs="宋体"/>
      <w:color w:val="000000"/>
      <w:kern w:val="0"/>
      <w:sz w:val="24"/>
    </w:rPr>
  </w:style>
  <w:style w:type="paragraph" w:styleId="74">
    <w:name w:val="List Paragraph"/>
    <w:basedOn w:val="1"/>
    <w:qFormat/>
    <w:uiPriority w:val="34"/>
    <w:pPr>
      <w:ind w:left="720"/>
      <w:contextualSpacing/>
    </w:pPr>
  </w:style>
  <w:style w:type="character" w:customStyle="1" w:styleId="75">
    <w:name w:val="正文文本 Char"/>
    <w:basedOn w:val="22"/>
    <w:link w:val="13"/>
    <w:qFormat/>
    <w:uiPriority w:val="99"/>
    <w:rPr>
      <w:rFonts w:asciiTheme="minorHAnsi" w:hAnsiTheme="minorHAnsi" w:eastAsiaTheme="minorEastAsia" w:cstheme="minorBidi"/>
      <w:szCs w:val="22"/>
      <w:lang w:val="en-SG"/>
    </w:rPr>
  </w:style>
  <w:style w:type="paragraph" w:customStyle="1" w:styleId="7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4AF2-3254-47F6-8B9A-2C337F1E321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5211</Words>
  <Characters>5568</Characters>
  <Lines>41</Lines>
  <Paragraphs>11</Paragraphs>
  <TotalTime>2</TotalTime>
  <ScaleCrop>false</ScaleCrop>
  <LinksUpToDate>false</LinksUpToDate>
  <CharactersWithSpaces>5580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2024-04-16T06:07:00Z</dcterms:created>
  <dc:creator>yejinqi</dc:creator>
  <cp:lastModifiedBy>赵杰</cp:lastModifiedBy>
  <cp:lastPrinted>2023-03-09T02:54:00Z</cp:lastPrinted>
  <dcterms:modified xsi:type="dcterms:W3CDTF">2024-06-14T06:19:28Z</dcterms:modified>
  <dc:title>1</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AC597DD61B64464CBC494402CA316A93</vt:lpwstr>
  </property>
</Properties>
</file>