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afterLines="100" w:line="360" w:lineRule="auto"/>
        <w:jc w:val="center"/>
        <w:rPr>
          <w:rFonts w:ascii="宋体" w:hAnsi="宋体"/>
          <w:b/>
          <w:sz w:val="44"/>
          <w:szCs w:val="30"/>
        </w:rPr>
      </w:pPr>
      <w:r>
        <w:rPr>
          <w:rFonts w:hint="eastAsia" w:ascii="宋体" w:hAnsi="宋体"/>
          <w:b/>
          <w:sz w:val="44"/>
          <w:szCs w:val="30"/>
        </w:rPr>
        <w:t>医院信息智能统计分析系统项目需求</w:t>
      </w:r>
    </w:p>
    <w:p>
      <w:pPr>
        <w:pStyle w:val="2"/>
        <w:numPr>
          <w:ilvl w:val="0"/>
          <w:numId w:val="2"/>
        </w:numPr>
        <w:spacing w:before="0" w:after="0"/>
        <w:rPr>
          <w:rFonts w:ascii="宋体" w:hAnsi="宋体"/>
          <w:sz w:val="32"/>
          <w:szCs w:val="32"/>
        </w:rPr>
      </w:pPr>
      <w:r>
        <w:rPr>
          <w:rFonts w:hint="eastAsia" w:ascii="宋体" w:hAnsi="宋体"/>
          <w:sz w:val="32"/>
          <w:szCs w:val="32"/>
        </w:rPr>
        <w:t>项目名称</w:t>
      </w:r>
    </w:p>
    <w:p>
      <w:pPr>
        <w:spacing w:line="440" w:lineRule="exact"/>
        <w:ind w:firstLine="480"/>
        <w:rPr>
          <w:rFonts w:hint="eastAsia" w:ascii="Times New Roman" w:hAnsi="Times New Roman" w:eastAsia="宋体" w:cs="Times New Roman"/>
          <w:sz w:val="24"/>
        </w:rPr>
      </w:pPr>
      <w:r>
        <w:rPr>
          <w:rFonts w:hint="eastAsia" w:ascii="Times New Roman" w:hAnsi="Times New Roman" w:eastAsia="宋体" w:cs="Times New Roman"/>
          <w:sz w:val="24"/>
        </w:rPr>
        <w:t>项目名称：医院信息智能统计分析系统项目</w:t>
      </w:r>
    </w:p>
    <w:p>
      <w:pPr>
        <w:pStyle w:val="2"/>
        <w:numPr>
          <w:ilvl w:val="0"/>
          <w:numId w:val="2"/>
        </w:numPr>
        <w:spacing w:before="0" w:after="0"/>
        <w:rPr>
          <w:rFonts w:ascii="宋体" w:hAnsi="宋体"/>
          <w:sz w:val="32"/>
          <w:szCs w:val="32"/>
        </w:rPr>
      </w:pPr>
      <w:r>
        <w:rPr>
          <w:rFonts w:hint="eastAsia" w:ascii="宋体" w:hAnsi="宋体"/>
          <w:sz w:val="32"/>
          <w:szCs w:val="32"/>
        </w:rPr>
        <w:t>项目内容</w:t>
      </w:r>
    </w:p>
    <w:p>
      <w:pPr>
        <w:spacing w:line="440" w:lineRule="exact"/>
        <w:ind w:firstLine="480"/>
        <w:rPr>
          <w:rFonts w:ascii="Times New Roman" w:hAnsi="Times New Roman" w:eastAsia="宋体" w:cs="Times New Roman"/>
          <w:sz w:val="24"/>
        </w:rPr>
      </w:pPr>
      <w:r>
        <w:rPr>
          <w:rFonts w:hint="eastAsia" w:ascii="Times New Roman" w:hAnsi="Times New Roman" w:eastAsia="宋体" w:cs="Times New Roman"/>
          <w:sz w:val="24"/>
        </w:rPr>
        <w:t>随着医院精细化管理的发展，医务、医保、药学、计财等管理部门对数据的时效性和数据颗粒度的要求不断提高，现有的管理数据中心由于缺少智能报表快速部署平台、自定义报表工具、智能统计分析工具等，已无法满足管理部门对数据统计的需要。鉴于此，统计科拟围绕BI升级、自助报表生成、SQL快速部署报表工具、智能预警和统计分析工具等，为统计工作提供智能统计抓手，更好满足医院精细化管理的统计需求。</w:t>
      </w:r>
    </w:p>
    <w:p>
      <w:pPr>
        <w:pStyle w:val="2"/>
        <w:numPr>
          <w:ilvl w:val="0"/>
          <w:numId w:val="2"/>
        </w:numPr>
        <w:spacing w:before="0" w:after="0"/>
        <w:rPr>
          <w:rFonts w:ascii="宋体" w:hAnsi="宋体"/>
          <w:sz w:val="32"/>
          <w:szCs w:val="32"/>
        </w:rPr>
      </w:pPr>
      <w:r>
        <w:rPr>
          <w:rFonts w:hint="eastAsia" w:ascii="宋体" w:hAnsi="宋体"/>
          <w:sz w:val="32"/>
          <w:szCs w:val="32"/>
        </w:rPr>
        <w:t>详细功能描述</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eastAsia="zh-CN"/>
        </w:rPr>
        <w:t>（</w:t>
      </w:r>
      <w:r>
        <w:rPr>
          <w:rFonts w:hint="eastAsia" w:cs="Times New Roman"/>
          <w:b/>
          <w:bCs/>
          <w:sz w:val="28"/>
          <w:szCs w:val="28"/>
          <w:lang w:val="en-US" w:eastAsia="zh-CN"/>
        </w:rPr>
        <w:t>一</w:t>
      </w:r>
      <w:r>
        <w:rPr>
          <w:rFonts w:hint="eastAsia"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智能分析系统要求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1.平台兼容性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1.1硬件兼容性：支持X86架构硬件服务器，支持高密度服务器；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1.2软件兼容性：兼容主流的Linux操作系统，全面支持64位能力，兼容Centos/Redhat7.6版本以上。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1.3浏览器兼容性：兼容IE9及以上、chrome、edge、火狐、360等主流浏览器，采用HTML5架构，且无需安装任何插件。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1.4系统稳定性：需具备良好的可扩展性，支持集群部署。应确保7*24小时的安全稳定运行。软件版本升级或改进应在不影响业务的情况下进行，保证系统可以稳定、平滑过渡。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1.5安全保障性：具备极强的安全性保障数据、系统等安全，具备不同方式安全保障措施，符合国家网络安全等级保护三级及以上级相关要求或通过第三方安全检测机构的安全检测，提供相关证明材料。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2.数据源接入能力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2.1自有数据源类：支持多种主流数据库，包括mysql、oracle、hive、pgsql、ClickHouse、sql server、presto以及高斯db、达梦等国产数据库，支持用户连接自有数据源，数据库成功连接后，不需要另外准备数据库缓存原始数据。支持一键拉取数据建模平台中的系统源，不需要重新输入账号密码连接数据；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2.2API数据源建表：支持API数据源连接建表，包括直连和抽取两种连接方式，抽取方式支持定时更新，可通过填写分页参数设置数据分页读取，同时支持基础权限鉴权。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2.3文件数据源：支持Excel和CSV两种格式本地文件上传，非技术人员可通过此渠道快捷配置自己的数据；非技术人员可以手动填写数据到CSV和excel文件中，作为报表的数据源。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 xml:space="preserve">2.4 </w:t>
      </w:r>
      <w:r>
        <w:rPr>
          <w:rFonts w:hint="default" w:ascii="Times New Roman" w:hAnsi="Times New Roman" w:eastAsia="宋体" w:cs="Times New Roman"/>
          <w:sz w:val="24"/>
          <w:szCs w:val="24"/>
        </w:rPr>
        <w:t>接入方式，例如 离线模式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3</w:t>
      </w:r>
      <w:r>
        <w:rPr>
          <w:rFonts w:hint="default" w:ascii="Times New Roman" w:hAnsi="Times New Roman" w:eastAsia="宋体" w:cs="Times New Roman"/>
          <w:sz w:val="24"/>
          <w:szCs w:val="24"/>
        </w:rPr>
        <w:t>.数据建模加工-ETL</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接入数据源后，支持通过SQL及界面化的建模加工工具，快速构建、关联数据表，并能做字段计算、聚合、翻译等常规数据加工操作。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SQL建表/合表/加工视图表：通过自定义SQL语句从已连接的数据库中创建数据表；用户写入有效的自定义SQL语句查询出字段后，可自行选择需要的字段组合成表。在建表成功后，可通过修改SQL语句的方式直接更新数据。支持对表字段进行日期、字符、数值之间进行转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3.2界面化多表关联：多表关联支持不同表进行联结，BI支持通过拖拽进行表关联，图形化操作，便捷易用，并且可以手动选择合表内显示的字段。表关联支持包括以下三类型连接方式：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1）left join(左外连接)：返回包括左表中的所有记录和右表中关联字段相等的记录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2）right join(右外连接)：返回包括右表中的所有记录和左表中关联字段相等的记录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3）inner join(内连接)：只返回两个表中关联字段相等的行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计算字段支持：计算字段支持可对已有表的字段创建计算逻辑，生成新字段。接入的数据源支持的计算函数计算字段都支持，例如SUM，COUNT，AVG，MAX，MIN，标准差（STDDEV），方差（STD）和IF等计算逻辑，同时支持使用sql语句对字段进行加工以满足实际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3.4数据聚合：支持对日期数据按照年、月、周、日、时、分、秒时间维度进行聚合展示。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3.5SQL传参：支持用户在SQL 建表时可以创建参数进行数据直接过滤，并可以与报表的过滤筛选器绑定，用户在查看报表时，也将会将筛选内容传到 SQL 参数中，在SQL查询时就预先过滤，提升查询速度。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3.6字典表：用于进行字段映射，可用于对字段进行注释，如通过维度表对英文进行注释，支持excel和数据库方式生成字典表。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4</w:t>
      </w:r>
      <w:r>
        <w:rPr>
          <w:rFonts w:hint="default" w:ascii="Times New Roman" w:hAnsi="Times New Roman" w:eastAsia="宋体" w:cs="Times New Roman"/>
          <w:sz w:val="24"/>
          <w:szCs w:val="24"/>
        </w:rPr>
        <w:t>.数据库搭建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以医院的业务管理为核心，围绕包括医、护、技、药等医疗业务管理数据，基于主题域从医院各个业务系统采集数据。这些数据按照主题域进行存放，原则上要求与业务系统的数据粒度保持一致，按一定频率定期更新，通过数据清洗、转换、加载后形成用于支持医疗业务全流程管理的数据查询、统计报表和分析利用的高质量数据。包括以下几个部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1)现有管理数据中心数据库的迁移。包含数据库表结构的梳理，各表的用途、字段值及取值含义的详细注释。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2)协助完成近2年统计需求查询（约一千份）的梳理，提取所需字段值、数据源，并按照主题域形成数据表，将数据接入智慧管理数据库。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根据医保飞检需求（116项）、医疗质量与安全数据上报需求等管理统计需要，将数据库缺少的字段抽取到该数据库中。抽取后的数据应当完成与数据源的数据进行数据比对、系统内可生成数据质量报告，保证抽取后的数据质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4)根据统计工作需要，在智慧统计管理系统界面录入数据按主题域分类后，持续自动汇集到数据库。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5)科室、床位变更维护信息自动纳入数据库进行管理和查询。</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6)根据新的业务和统计管理工作需要，持续对接新的数据进数据库。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5</w:t>
      </w:r>
      <w:r>
        <w:rPr>
          <w:rFonts w:hint="default" w:ascii="Times New Roman" w:hAnsi="Times New Roman" w:eastAsia="宋体" w:cs="Times New Roman"/>
          <w:sz w:val="24"/>
          <w:szCs w:val="24"/>
        </w:rPr>
        <w:t>.数据填报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数据填报是一款0代码在线数据收集工具，能提供填报表单设计，数据收集，数据入库，数据管理的一站式服务。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5</w:t>
      </w:r>
      <w:r>
        <w:rPr>
          <w:rFonts w:hint="default" w:ascii="Times New Roman" w:hAnsi="Times New Roman" w:eastAsia="宋体" w:cs="Times New Roman"/>
          <w:sz w:val="24"/>
          <w:szCs w:val="24"/>
        </w:rPr>
        <w:t>.1在填报表单设计环节，系统支持单行输入、多行输入、单选框组、多选框组、日期选择、卡片布局、文本等多种填报组件，支持标题、提示信息、必填校验等配置，并支持PC和移动端布局预览。设计好的填报表单，可以方便地指定写入数据库和写入字段，以自动将收集数据写入数据库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5</w:t>
      </w:r>
      <w:r>
        <w:rPr>
          <w:rFonts w:hint="default" w:ascii="Times New Roman" w:hAnsi="Times New Roman" w:eastAsia="宋体" w:cs="Times New Roman"/>
          <w:sz w:val="24"/>
          <w:szCs w:val="24"/>
        </w:rPr>
        <w:t>.2在数据收集和入库环节，用户可在手机或PC端打开填报链接填写数据，填写后系统将自动写入到指定数据库的指定字段中。支持多次提交。系统还支持设置填写密码和填写有效期以把控填报的安全性。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5</w:t>
      </w:r>
      <w:r>
        <w:rPr>
          <w:rFonts w:hint="default" w:ascii="Times New Roman" w:hAnsi="Times New Roman" w:eastAsia="宋体" w:cs="Times New Roman"/>
          <w:sz w:val="24"/>
          <w:szCs w:val="24"/>
        </w:rPr>
        <w:t>.3在数据管理环节，系统支持查看、编辑和删除收集到的数据。并提供快捷建表能力，帮助客户将收集到的数据快捷建为数据表以进行BI分析。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.数据可视化设计与分析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.1多端浏览支持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.1.1支持配置PC端：支持常规PC端页面配置，可以根据显示器分辨率自动适配。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.1.2支持配置实时监控大屏：支持配置非常规比例可视化大屏界面，提供丰富的可视化配置组件和样式配置，可支持各类型驾驶舱场景。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1.3支持移动端适配展示：通过BI配置好PC端报表页面后，可一键切换为移动端适配页面，无需重新配置移动端数据，同时也可以在移动端调整布局而不影响PC布局，支持在移动编辑端对组件进行隐藏、删除操作，同时支持通过微信/企微扫码预览移动端报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.2自由画布数据大屏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支持自由画布数据大屏模式，可通过多图层叠加、多元素展现，搭建数据分析大屏，常用于企业展厅、指挥大屏、演示会场等场景。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.2.1多图层编辑能力：支持通过图层叠加获取个性化的视觉效果。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.2.2多样化媒体组件：除图表外支持文本、图片、视频等组件，丰富应用效果。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.2.3个性化组件设置：支持组件级的样式设置，一键配置组件配色。</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.2.4共用数据配置：和栅格画布共用数据配置，无需重复加工处理。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.2.5多场景投放适配：支持自定投放尺寸，避免元素缩放不一的视觉问题，用于带鱼屏、异形屏等场景。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.3可视化组件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3.1支持图表类组件：支持以下类型图表组件，方便用户进行报表数据表达，实现所见即所得：包括表格、折线图、柱状图、饼图、环形图、散点图、漏斗图、指标卡、色彩地图、气泡地图、堆叠柱状图、百分比柱状图、堆叠条形图、百分比条形图、雷达图、仪表盘、词云、条形图、双轴图（柱线图）、桑基图、面积图、全局Tab、组件TAB。</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.3.2时间筛选器：用户可选择“自定义”时间筛选或固定时间类型筛选方式，其中：自定义时间筛选由用户自行定义起止时间，固定时间类型筛选包括：昨日、今日、近7天、近14天等。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3.3支持文本筛选器：可配置“输入文本”类型的筛选器，支持模糊匹配和精准匹配，也可配置有明确筛选值的筛选器，支持“多选”、“单选”两种筛选方式。筛选器可与语页面中的单一图表或者多个图表进行关联，同时文本筛选器可应用于多个筛选器之间的联动交互，如有两个筛选器，一个是“省”，一个是“市”，当选择了“广东”省，“市”筛选器只能选择广东下面的城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3.4支持插入图片多媒体内容，可以通过“本地文件”或者“外部链接”进行图片上传，并且可以选择对图片进行圆角处理，以及对背景色进行更改，用户可以选择图片适配报表的方式，包括：保持尺寸、适应组件、等比适应；</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.3.5支持插入web网页，用户输入URL后，可以作为报表内容组合呈现出来。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.3.6支持文本组件，可用于添加文本内容到报表页面进行组合展示，支持定义动态变量，制作自动化文本+数据变量统计报告。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.4拖拽式可视化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可直接选择图表类型拖入画板。将数据源中的字段分别拖入维度轴和数值轴，即可生成图表。轻松排版，拖拽图表即可在页面上进行版式设计。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.5开箱即用的图表设计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.5.1支持报表界内自由调整组件尺寸，用户可自由拖拽组件，丰富的页面元素布局方式，同时支持自由调整组件尺寸以满足页面组件组合方式。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.5.2支持坐标轴文字多样化设置：支持对坐标进行设置，以满足部分坐标轴文字超长导致图展示比例失调的问题，目前支持按字数、行数设置。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.5.3自定义主题样式：系统内置3个及以上主题样式，支持用户自定义主题的设置，一键完成整个页面的风格统一，无需单个图表设置。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.5.4支持对页面组件一键设置全局组件的风格：包括背景颜色、组件边框、组件阴影、图表标题颜色、图表标题字号、图表标题字体风格等，无需对单个组件逐一设置。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.5.5支持对图表网格设置水平线、垂直线，并且可设置虚线或者实线。支持对表格组件设置表头文字字号、单元格文字字号、分割线类型（实线或虚线）、偶数行背景颜色。</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.5.6系统内置4个及以上图表配色，支持一键切换页面全部图表配色，无需单个组件逐一设置。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.5.7支持设置筛选组件透明背景。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.5.8支持设置TAB组件标签区背景颜色，支持配置渐变或者单色、TAB标签文字大小、TAB标签颜色等。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.5.9支持页面tab模式：支持将页面设置成TAB模式，在不同的TAB页签下配置不同页面，发布后用户可根据TAB页签自由切换页面。</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.5.10支持数据标注：支持数据标注对图表中元素进行特殊标记（背景、文字样式/颜色），以便快速发现标注信息。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.5.11支持组件复用：支持快捷复用当前页面以及其他页面中的组件，复用其他页面中的组件支持一次性多选配置，提升报表页面开发效率。</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.5.12支持自定义组件：支持自定义组件能力，用户可通过调用BI系统提供的接口实现第三方自定义组件开发，灵活满足图表的拓展需求。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.6便捷报表管理能力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产品有良好的报表管理能力，便捷的操作流程，降低用户学习成本：</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.6.1支持报表的自动保存。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.6.2支持拷贝页面或页面内的组件内容。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.6.3支持克隆一个已有页面，生成独立新页面。</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.6.4支持多人编辑控制：支持多人同时编辑控制BI项目配置，在用户保存时，严格判断当前版本，如非最新版本禁止提交，除非确认可执行覆盖模式，将当前版本作为最新版本。</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.6.5报表水印功能：可以设置报表增加水印功能，提升数据安全性，保护报表知识产权。</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.6.6支持将报表中的图表数据进行导出，以便线下进行二次加工处理，当前支持单组件导出、页面导出两种方式，支持多种格式文件（Excel 文件、CSV 文件、PNG/JPG 图片、PDF 文件）。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6.7科室树维护：实现本系统中在同一界面进行科室维护，即实现多个科室树的统一更新，提高科室树维护的便利性和智能化；将OA的科室变更申请流程的关键信息存储到科室树维护界面；对科室变更时间、变更信息的记录留痕，以及快速查找。</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6.8床位维护：将OA的床位变更申请流程的关键信息存储到科室树维护界面；对床位变更时间、变更信息的记录留痕，以及快速查找；科室、床位统一展示界面，支持按时间查询不同时间点各科室的床位数，科室名称及床位数按实时数据显示。展示各科室目前的科室名称及床位数，点击弹出各科室的床位变更记录痕迹，点击某个变更时间可弹出OA床位变更审批记录；床位统一展示界面可开放不同用户；根据临床科室及医务处要求，对部分科室或指定患者的床位进行智能调整及床日数减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6.9编码库对照维护：解决编码库更新前后数据查询需要多次匹配对照的问题。实现对接获取广东省病案统计管理系统的手术编码库和疾病编码库；编码库的对照匹配功能，允许excel对照后导入系统并存储不同版本的编码对照表；该系统按编码查询统计的数据，能够实现按最新编码统计、历史对照编码数据能同步自动对照提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.7交互式数据分析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.7.1支持拖拽式配置图表数据：拖拽进行组件配置，查询条件自动检测字段类型是否可放入对应的“维度”、“下钻维度”、“指标”及条件框。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.7.2支持图表联动，图表间根据参数进行联动分析，支持“一对一”图表联动、“一对多”图标联动。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.7.3支持页面参数及跳转带参，页面之间根据参数进行页面间的数据过滤及页面跳转。</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.7.4支持图表下钻，通过配置图表下钻逻辑和维度，实现图表层层下钻交互，比如由省下钻至市等。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.7.5支持下载和查看图表数据结果明细。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.7.6支持支持界面配置单图表的聚合逻辑，聚合逻辑包括加和、最大值、最小值、平均值、计数、去重计数、方差、标准差、众数、中位数等。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.7.7支持界面配置单图表的聚合逻辑：同环比、排名、累计值、占比等高级计算逻辑。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.7.8支持界面配置单表排序设置逻辑，对数据定义排序展示方式，排序方式包括“升序”、“降序”和“不排序”，用户只需要通过手动选择排序设置即可让数据有序呈现，无需其他数据加工。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7.9支持界面配置单图表过滤条件设置，包括时间字段的相对时间、固定时间、为空、不为空，文本字段的包含/不包含、是/不是、为空/不为空，数值字段的等于、大于/大于等于、小于/小于等于、不等于、区间、排除、为空/不为空条件配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.7.10支持任意类型字段都可作为维度或指标使用，字段根据用途（作为维度或指标）自动转化为对应的用途类型，如文本字段也可以作为指标字段，提供计总等聚合计算。</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.7.11支持在图表数据配置过程中，直接设置数据过滤条件，不需要改动数据源。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.7.12支持通过项目变量的方式，将计算结果传递给文本等组件，满足需要动态展示文本的场景，如在标题中插入汇总数、在文本组件中，添加动态销量数据等。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.8即席分析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面向熟悉业务运营人员，提供自助式业务探索能力，以表格形式快速呈现分析结果；常用于业务自由取数、数据探讨时的即时挖掘等场景。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即席分析提供以下能力：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.8.1敏捷数据分析：提供拖拽分析能力，即查即取即分析，通过快速切换分析要素获取结果来快速获得最佳业务分析模型；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.8.2多层级维度分析：提供多维度、多维组、多数据片及面分析，多视角审视业务数据；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.8.3数据预处理：对分析数据进行过滤处理，去除干扰数据，如空值等；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.8.4行列转置：支持一键行列转置，方便查阅；</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6</w:t>
      </w:r>
      <w:r>
        <w:rPr>
          <w:rFonts w:hint="default" w:ascii="Times New Roman" w:hAnsi="Times New Roman" w:eastAsia="宋体" w:cs="Times New Roman"/>
          <w:sz w:val="24"/>
          <w:szCs w:val="24"/>
        </w:rPr>
        <w:t>.8.5数据标注：支持条件标注，便于快速定位异常指标。</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.数据应用与管理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.1报表推送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支持将报表推送到指定OA/邮箱/企业微信，支持设置推送任务标题、接收人，推送模板支持设置截图模板和HTML模板两种方式，并且支持自定义推送时间、频率，支持添加Excel附件，支持设置访问密码。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.2现有管理数据中心报表的整理及迁移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针对目前管理数据中心在用报表，进行字段的整理，形成指标维护平台，含指标名称、指标口径、指标定义、指标用途等。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将现有管理数据中心在用报表在新系统进行重新部署，并核验所有数据源、口径及结果与原报表数据的一致性。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.3指标告警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支持用户设置指标告警条件、告警周期、接收通知的人员范围以及设置邮件推送或者企微推送，业务人员可以即时获取指标异常状况，以便快速定位异常问题及后续策略制定。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.4大数据自助取数</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支持最大百万行量级的数据取数，方便大型客户对数据进行后进行自定义分析。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.5报表分享</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支持将报表点击生成分享链接，可设定密码和过期日期，也可以将多个报表组合的目录进行分享。</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.6开放集成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.6.1支持将报表嵌入到其它系统中以进行集成，以报表形态在用户其他系统中进行展示，如OA系统、业务管理系统等等。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.6.2嵌出报表支持绑定用户权限，实现数据过滤；嵌出报表支持绑定参数，实现图表过滤；支持设置访问次数，每次使用访问后数量减1，提升嵌出页面的安全性。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.6.3支持单点登录SSO：系统支持基于OAuth2的SSO协议，可以快速对接基于OAuth2协议的SSO系统，实现BI和第三方系统的用户单点登录集成访问。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.7权限管理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.7.1支持客户配置数据的行列权限，权限管理到数据字段级别，以满足同一份报表不同人查看仅能看到自己有权限下的数据。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.7.2支持关联用户的用户标签，自动匹配用户对应的行列权限。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.7.3支持将数据源/数据表/页面权限对应分配给不同的用户进行授权，仅授权范围内的用户可通过BI进行对应资源的查看/使用/编辑操作。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.8角色权限管理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支持划分项目管理员、项目编辑者、项目普通成员以及项目查看者，并且划分不同角色权限内容。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.9用户管理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.9.1支持对项目、角色组权限管理配置，包括增删改查成员以及为对应的成员配置角色。</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.9.2支持按报表页面主动申请权限，支持管理员对报表权限审批。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.9.3支持对用户进行标签管理，包括手工配置用户的标签名称、标签值，同时支持自动同步数据库中的标签表和用户进行标签数据绑定。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w:t>
      </w:r>
      <w:r>
        <w:rPr>
          <w:rFonts w:hint="eastAsia" w:cs="Times New Roman"/>
          <w:sz w:val="24"/>
          <w:szCs w:val="24"/>
          <w:lang w:val="en-US" w:eastAsia="zh-CN"/>
        </w:rPr>
        <w:t>10</w:t>
      </w:r>
      <w:r>
        <w:rPr>
          <w:rFonts w:hint="default" w:ascii="Times New Roman" w:hAnsi="Times New Roman" w:eastAsia="宋体" w:cs="Times New Roman"/>
          <w:sz w:val="24"/>
          <w:szCs w:val="24"/>
        </w:rPr>
        <w:t>资源迁移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持资源迁移功能，可实现项目中指定资源（看板/页面/数据）的跨项目、跨账号、跨环境迁移，满足用户项目迁移、页面复用、资源共享等使用场景。一次完整的资源迁移，会涉及资源导出（选择项目、选定资源、生成资源包、导出资源包）、资源导入（选择项目、上传资源包、连接数据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w:t>
      </w:r>
      <w:r>
        <w:rPr>
          <w:rFonts w:hint="eastAsia" w:cs="Times New Roman"/>
          <w:sz w:val="24"/>
          <w:szCs w:val="24"/>
          <w:lang w:val="en-US" w:eastAsia="zh-CN"/>
        </w:rPr>
        <w:t>11</w:t>
      </w:r>
      <w:r>
        <w:rPr>
          <w:rFonts w:hint="default" w:ascii="Times New Roman" w:hAnsi="Times New Roman" w:eastAsia="宋体" w:cs="Times New Roman"/>
          <w:sz w:val="24"/>
          <w:szCs w:val="24"/>
        </w:rPr>
        <w:t>日志管理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w:t>
      </w:r>
      <w:r>
        <w:rPr>
          <w:rFonts w:hint="eastAsia" w:cs="Times New Roman"/>
          <w:sz w:val="24"/>
          <w:szCs w:val="24"/>
          <w:lang w:val="en-US" w:eastAsia="zh-CN"/>
        </w:rPr>
        <w:t>11</w:t>
      </w:r>
      <w:r>
        <w:rPr>
          <w:rFonts w:hint="default" w:ascii="Times New Roman" w:hAnsi="Times New Roman" w:eastAsia="宋体" w:cs="Times New Roman"/>
          <w:sz w:val="24"/>
          <w:szCs w:val="24"/>
        </w:rPr>
        <w:t>.1支持查看在选定时间段内，用户登陆平台次数，以及通过关联可识别具体某个用户的登录情况。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w:t>
      </w:r>
      <w:r>
        <w:rPr>
          <w:rFonts w:hint="eastAsia" w:cs="Times New Roman"/>
          <w:sz w:val="24"/>
          <w:szCs w:val="24"/>
          <w:lang w:val="en-US" w:eastAsia="zh-CN"/>
        </w:rPr>
        <w:t>11</w:t>
      </w:r>
      <w:r>
        <w:rPr>
          <w:rFonts w:hint="default" w:ascii="Times New Roman" w:hAnsi="Times New Roman" w:eastAsia="宋体" w:cs="Times New Roman"/>
          <w:sz w:val="24"/>
          <w:szCs w:val="24"/>
        </w:rPr>
        <w:t>.2支持从报表/数据表角度，查看各个报表/数据表被用户查询次数/时长行为情况。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w:t>
      </w:r>
      <w:r>
        <w:rPr>
          <w:rFonts w:hint="eastAsia" w:cs="Times New Roman"/>
          <w:sz w:val="24"/>
          <w:szCs w:val="24"/>
          <w:lang w:val="en-US" w:eastAsia="zh-CN"/>
        </w:rPr>
        <w:t>11</w:t>
      </w:r>
      <w:r>
        <w:rPr>
          <w:rFonts w:hint="default" w:ascii="Times New Roman" w:hAnsi="Times New Roman" w:eastAsia="宋体" w:cs="Times New Roman"/>
          <w:sz w:val="24"/>
          <w:szCs w:val="24"/>
        </w:rPr>
        <w:t>.3支持从用户角度，查看各个用户使用报表情况。</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b/>
          <w:bCs/>
          <w:sz w:val="28"/>
          <w:szCs w:val="28"/>
        </w:rPr>
      </w:pPr>
      <w:r>
        <w:rPr>
          <w:rFonts w:hint="eastAsia" w:cs="Times New Roman"/>
          <w:b/>
          <w:bCs/>
          <w:sz w:val="28"/>
          <w:szCs w:val="28"/>
          <w:lang w:eastAsia="zh-CN"/>
        </w:rPr>
        <w:t>（</w:t>
      </w:r>
      <w:r>
        <w:rPr>
          <w:rFonts w:hint="eastAsia" w:cs="Times New Roman"/>
          <w:b/>
          <w:bCs/>
          <w:sz w:val="28"/>
          <w:szCs w:val="28"/>
          <w:lang w:val="en-US" w:eastAsia="zh-CN"/>
        </w:rPr>
        <w:t>二</w:t>
      </w:r>
      <w:r>
        <w:rPr>
          <w:rFonts w:hint="eastAsia" w:cs="Times New Roman"/>
          <w:b/>
          <w:bCs/>
          <w:sz w:val="28"/>
          <w:szCs w:val="28"/>
          <w:lang w:eastAsia="zh-CN"/>
        </w:rPr>
        <w:t>）</w:t>
      </w:r>
      <w:r>
        <w:rPr>
          <w:rFonts w:hint="default" w:ascii="Times New Roman" w:hAnsi="Times New Roman" w:eastAsia="宋体" w:cs="Times New Roman"/>
          <w:b/>
          <w:bCs/>
          <w:sz w:val="28"/>
          <w:szCs w:val="28"/>
        </w:rPr>
        <w:t>底层数据库要求</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1.总体要求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1.1具有国产软件自主知识产权，保障产品的自主可控，具有自主研发能力，保障后续产品的迭代性（需要提供相应的软著、专利编号、认证证书复印件、相关截图证明等）。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1.2投标产品厂商具有国产软件自主知识产权，保障产品的自主可控，提供相关的《计算机软件著作权登记证书》证明文件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1.3分布式分析型数据库基础能力符合国家信通院的标准要求，提供信通院产品能力测试报告证明文件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1.4分布式分析型数据库性能符合国家信通院的标准要求，提供信通院产品能力测试报告证明文件</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2.数据库-内核能力需求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2.1SQL处理能力需求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2.1.1分析函数：包含常见的窗口分析函数如rank()、dense_rank()、percent_rank()、lead()、lag()、row_number()、cume_dist() 、ntile()等。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2.1.2复杂数据分析：支持多表连接查询、物化视图、Rollup、Cube等复杂数据分析语句。同时通过RBO/CBO优化器进行复杂查询优化。</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2.1.3子查询能力：支持相关/非相关子查询、exists/or/in/not in/not exists等多种子查询语句可以自动优化为关联语句，提升查询性能，无需用户手动重写SQL。</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2.1.4分区表：兼容PG社区分区表，并支持基于分区键的数据查询剪枝，支持基于分区键的关联剪枝。</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2.1.5自定义函数：支持自定义函数，自定义类型，支持存储过程PL/SQL等复杂SQL服务器端编程。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2.1.6DDL回滚：针对Drop table，drop index，truncate table等危险操作，在事务结束前可以回滚。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2.1.7SQL绑定变量：数据库支持绑定变量，实现SQL预解析。JDBC/ODBC等扩展协议支持。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2.1.8支持列存表：支持列存储表，列存与行存表一样支持事务、DML、DDL、索引等能力。支持行列存混合关联查询，列存DML支持强事务一致性。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2.1.9支持列存局部聚簇索引：支持列存局部聚簇索引Partial Cluster Key，提高数据压缩比，并通过提高谓词下推扫描过滤效果提升整体查询效率</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2.1.10列存表压缩：支持lz4、zstd等透明压缩，支持Delta、RLE、字典压缩等多种轻量级压缩算法；支持表级别、列级别、分区表级别的压缩；支持自动根据压缩等级low/middle/high为用户选择合适的压缩算法，而无需用户指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2.1.11列存支持辅助行存表：列存支持增加辅助行存表（stash辅助表）设计，从而同时支持DML写入场景优化以及海量数据查询性能优化。支持Auto Stash Merge进程自动将stash行存表中数据合并为列存格式，对用户透明；支持参数控制自动合并判断的行数阈值、页面数阈值，最小执行时间阈值等。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2.1.12向量化/JIT：支持全流程向量化执行引擎，引入SIMD指令进行深入优化。支持JIT运行时编译技术，提供核心算子、表达式计算、向量化执行等多层次的运行时编译能力，提供高效查询分析能力。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2.1.13向量化缓存：支持行/列存表向量化内存结构缓存，加速向量化计算效率。可通过参数控制向量化内存结构缓存大小。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2.1.14创建表分区：支持界面化配置range、list、hash分区方式。选择ranger/list分区后支持配置分区字段以及分区规则。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2.1.15计算数据倾斜：支持优化器自动判断复杂关联场景中可能出现的计算数据倾斜，并添加对应增强重分布算子来解决计算倾斜问题。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2.1.16存储过程：支持存储过程的创建、更新、删除以及执行，并且兼容Oracle存储过程语法。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2.1.17触发器：对数据表的INSERT、UPDATE、DELETE进行监控，当发生上述行为时执行相应的触发器动作。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2.1.18在线创建索引：创建在线索引，在创建索引和重建索引过程中，对表加共享锁，允许UPDATE/DELETE/INSERT操作并发执行，从而不影响在线业务的执行。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2.1.19Json数据类型支持：数据表支持Json数据类型(包含Json\Jsonb)，可以对JSON数据存储和处理；Jsonb函数支持函数和索引能力。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2.1.20字符集扩展：支持创建数据库、创建或导出文件指定编码，支持GBK及GB18030字符集。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2.1.21数据类型：支持数字、字符串，时间类型，以及货币、几何、UUID、Array、JSON、Range等类型。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2.1.22数据库对象扩展：包含常用数据库对象，包括支持视图，序列，大对象。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2.1.23外部表扩展：支持COS/HDFS/Kafka/文件等多个平台的外部数据导入导出和分析，支持csv/txt/orc/parquet等多种数据格式。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2.1.24接口兼容：兼容JDBC/shell/C/Python/PHP/Golang等大多数语言的API。</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2.1.25支持多分隔符数据导入导出。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2.2扩展能力需求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2.2.1在线扩展备机：支持页面化以资源模版的方式扩展备机功能，备机个数可以为1 ~ n个，n包括2、3、4...10等。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2.2.2单节点加备机：支持页面化为某个节点加备机，且备机扩展后能够独立提供只读功能。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2.2.3扩/缩容一组节点：支持页面化在线扩/缩容一组节点，在线扩/缩容过程保证数据完整性和一致性，扩/缩容后各节点数据自动均衡到新节点。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2.2.4多cn节点对等构架：支持多cn节点对等构架，cn节点可以动态增加或减少，多cn节点支持高可用，负载均衡等能力。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2.2.5内核小版本原地升级：支持内核小版本元数据变化下，在线原地升级，无需进行数据搬迁。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2.2.6调整节点配置：支持支持页面化以资源模版的方式统一垂直调整GTM/CN/DN的CPU、内存和存储占用资源，所有节点主从需按照统一规则调整。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2.3支持工具需求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2.3.1全局分析：支持通过explain analyze来分析查询性能，提供算子级别详细查询耗时分析。基于explain analyze结果支持多种系统视图分析。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2.3.2复杂查询分析工具：支持使用复杂查询分析工具来快速定位Query所在CN节点问题、定位错误ID所在DN节点问题；复杂查询分析工具可通过全局视图通过内部消息将所有节点的运行信息统一展示，并可以通过不同的过滤条件来定位相关的问题。同时支持按QueryId来清除分布式残留进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2.3.3高效数据迁移工具：支持通过在数据服务器上部署多个迁移服务的方式，把数据（csv\text等）通过外表映射直接并行迁移至数据节点，支持错误数据自动忽略并归集能力，支持在迁移过程中进行参数定义（行列分隔符、引用字符、时间/日期数据格式、字段取值所在位置、非法字符处理方式）；支持通过管道的方式对接多种数据源，比如通过Kafka connector将数据写入迁移工具对接的管道中，达到更加灵活的数据导入策略。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2.4高可用及分布式能力需求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2.4.1高可靠事务处理：支持事务管理功能，集群所有节点间事务的ACID特性，保证故障可恢复，以及恢复后满足数据的ACID要求，并负责节点的并发控制。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2.4.2高性能事务处理：支持在数据一致性前提下实现高并发访问，在事务中设置保存点，具备表级锁、以及行级并发，控制不同粒度的数据对象的并发访问控制；可设置隔离级别。</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2.4.3复杂查询高并发：通过数据转发节点设计，支持复杂查询高并发能力，解决数据仓库在大规模集群下复杂查询高并发场景时的链接风暴问题。相同机器混布节点可以通过共享内存进行传输加速。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2.4.4主备机高可用：CN/DN节点均支持物理日志复制方式的主备机高可用，支持一主多备配置方式，支持备机可读能力，从而支持读写分离控制；支持自动故障探测和管理，自动同步元数据和业务数据；支持数据全量、增量的备份与恢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2.4.5MVCC多版本控制：提供高度并发的数据访问方式。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2.4.6两阶段提交事务：两阶段提交事务。跨节点数据处理事务保持强一致性。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2.4.7分布式策略：数据分布策略：如散列（Hash）方式、复制（Replication）方式。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2.4.8分布式容错技术：数据多副本容错技术，提供数据的冗余保护，保证副本数据强一致性。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2.4.9资源组：通过资源组进行CPU/内存/并发等资源隔离，支持用户级别资源组绑定。支持等待队列，并根据优先级进行任务调整。支持通过query_mem参数控制CBO优化器对算子级别内存占用进行精细化控制。支持I/O隔离控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2.4.10资源熔断能力：支持根据CPU、IO、内存、计算倾斜等维度进行查询提前熔断退出。</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3.数据库-管控平台能力需求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3.1平台管理能力需求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3.1.1自动化部署：支持自动化部署安装管控平台，管控平台支持页面化管理和运维能力；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3.1.2资源模版：支持配置GTM/CN/DN资源模版，每个模版包括配置CPU/内存/磁盘大小以及资源是否可共享；支持模版列表展示以及删除能力；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3.1.3软件包管理：支持页面化软件包管理能力，包含安装包和升级包的上传、列表展示、管理和删除；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3.1.4资源管理：支持对IDC、租户资源池、服务器、机型等环境和硬件资源进行页面化管理的能力，其中IDC包含对IDC地域、机房配置、服务器数量的管理，服务器包含服务器所在IDC/机架，服务器IP、实例个数、服务器健康状态以及服务器资源分配详情等内容进行管理；上架服务器时支持服务器limits.conf参数和sysctl.conf参数的展示和调整；支持对服务器打标签，使得GTM/CN/DN初始化时可以按照标签自动分布到预期的机器上；支持对服务器指标如CPU使用率、CPU负载、内存占用率、磁盘占用率、进程数进行页面统计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3.1.5租户管理：支持页面化创建多个逻辑租户，以及对每个租户可以创建多个数据库实例；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3.1.6告警管理：支持对服务器、平台中间件等平台公共信息的监控和告警能力，包含事件告警以及指标告警，事件和指标告警包含告警名称、指标、描述、接收人、接收方式、告警级别和状态等信息，可以进行增删改等操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3.1.7系统信息：支持对平台本身的etcd、confdb等公共组件的状态监控和管理；支持平台的多种管理能力可配置化，比如日志归档的频率、core文件的清理策略等，通过参数开关进行配置；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3.1.8证书信息：支持证书的上传和更新，并在证书快到期时提前提醒；</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3.2实例运维能力需求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实例创建：支持通过页面化配置资源模版的方式创建一个完整的包含GTM、CN、DN节点的有相对独立的隔离资源的数据库实例；实例支持选择不同资源模板和软件包、支持指定数据节点个数完成批量节点添加；支持选择两地三中心部署模式、支持选择主备复制模式; 创建实例支持配置实例管理员、审计员、安全员，实现三权分立；支持对申请实例的审批并进行节点IP的调整；实例删除支持使用密码验证的方式进行安全删除。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3.2.2实例监控：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3.2.2.1支持集群监控：集群监控包含集群概览、集群拓扑以及集群指标监控，支持容量占用率、实例级请求数、连接数、两阶段事物数、主备切换次数等的展示；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3.2.2.2支持节点监控：节点监控包含协调节点、数据节点、GTM节点的监控，支持对节点的资源、sql耗时、请求数、主备延迟、表扫描次数等多个指标的展示；可查看不同时间段对比数据；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3.2.2.3支持容量监控：容量监控包括对多dn节点、主备dn节点使用情况监控，包括数据库容量、磁盘使用率、wal日志容量等；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3.2.3集群管理：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3.2.3.1支持高可用管理：对实例GTM/CN/DN节点的数据可靠性、自动切换开关、切换频率等高可用的管理策略的配置；支持不同的cpu/内存隔离策略；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3.2.3.2支持隔离备机能力：将一组完全的GTM/CN/DN节点使用一致的事务点隔离出来，不再同步数据，冻结数据快照数据快照，并可以将快照独立出一个新的实例；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3.2.3.3支持将实例节点列表导出文件，包括节点名称、IP/端口、所属平面、节点主备角色、cpu使用量（核数）/使用率、内存使用率、磁盘使用率、正在进行的运维操作、bin/data目录、环境变量、psql连接串等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3.2.4一键诊断：支持对实例进行高效的一键式健康检查。可以支持页面上进行实例检查项的阈值设置，并一键式快速完成实例的分布式路由、CN/DN之间的连通性、主备延迟、阻塞锁、事务年龄、节点core文件、机器网络、磁盘使用率、告警个数、实例正在进行的关键任务（升级/备份/扩容/主备切换）等的健康检查，显示每项的检查结果并可以查看检查详情；支持一件式修复不一致的节点路由；</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3.2.5节点管理：支持实例所有的节点列表的显示和搜索，支持cpu/内存/磁盘等关键指标的监控，支持启动、停止、主从切换、重做备机等管理操作；同时支持查看各节点的ip地址、port和数据目录、bin目录位置等信息；</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3.2.6帐号管理：支持对实例帐号的名称、属性的展示，并支持进行密码重置和删除；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3.2.7在线扩容：支持一键式完成实例扩容，自动完成节点的添加，并在一键式向导中自动计算节点数据量的大小，完成数据的搬迁和平衡；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3.2.8负载均衡：支持基于lvs的基本负载均衡能力的配置管理，支持不同均衡模式的选择，单CN节点故障后可以自动进行配置修正；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3.2.9在线升级：支持对实例的一键式在线升级和回退能力；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3.2.10配置管理：支持对实例CN/DN节点的数据库参数和权限的查看和在线配置；支持页面化批量配置数据库参数和参数生效节点；支持对已配置参数配置项内容、当前值、是否生效、配置单位、配置描述的展示；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3.2.11备份管理：支持页面化配置多种备份介质（包含HDFS、对象存储、本地存储、NAS存储），支持页面化配置备份状态、开始备份时间、备份间隔、备份份数、物理备份或者逻辑备份、备份并发数、备份压缩类型以及压缩级别；支持配置备份对象级别（database、schema、table）；</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3.2.12数据多活：通过创建订阅和发布任务，实现不同实例之间的数据同步；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3.2.13跨域切换：提供跨Region的整体切换能力，对不同Region的副本进行整体切换，切换后会自动进行路由表等信息进行检查；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3.2.14日志管理：支持页面化查看慢SQL日志、错误日志以及审计日志；日志支持按时间查询以及支持按数据库/节点/IP地址/SQL语句等筛选条件进行模糊查询；支持根据用户自定义时间段、自己选择节点、配置库/ETCD中间件系统表，一键式完成问题定位所需要的日志收集和下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3.2.15数据同步：开启数据同步配置后系统会自动创建connector并将数据写入kafka，提供给用户进行数据消费；支持指定表白名单/黑名单等多种配置；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3.2.16性能分析：支持页面化性能评估能力，支持一键对系统性能情况进行评估并删除性能分析报告，支持查看报告得分以及报告详情（需要包括数据库核心配置、数据库连接分析、数据节点请求量统计、数据库连接池分析、数据库vaccum统计、存储分节点统计、慢查询TOP统计、buffer命中率分析、节点CPU/内存利用率分析、pooler连接以及命中统计等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3.2.17支持一扩二：支持通过页面化一扩二的方式解决数据倾斜或数据空间不足问题的能力，快速完成某一组节点分裂成两组节点；支持创建一扩二任务以及对任务状态进行管理；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3.2.18会话管理：用于管理用户发起的进程，可以展示进程PID、用户名、查询SQL、查询开始时间、客户端IP/端口、状态和运行时长等，并支持页面上批量杀掉指定的进程；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3.2.19告警管理：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3.2.19.1支持告警列表：包含事件告警以及指标告警，事件和指标告警包含告警名称、指标、描述、接收人、接收方式、告警级别和状态等信息，可以进行增删改等操作；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3.2.19.2支持告警记录：包含事件告警记录以及指标告警记录，同时包含告警记录的处理状态；</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3.2.19.3支持告警管理：告警管理中可创建告警用户，以及对告警用户的管理功能；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3.3安全控制能力需求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3.3.1多账号角色：创建多种不同类型的权限账号和角色，需包含安全管理员，审计管理员，数据管理员等，每个账号角色拥有不同的权限。安全员、审计员不能访问业务数据，数据管理员和普通用户也不能访问安全员、审计员的规则表，安全员和审计员也不能访问彼此的规则表。安全员配置安全相关的策略，审计员配置相关的规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3.3.2数据加密：支持表级加密算法SM4，AES_128加密算法。支持透明加密，数据库在将数据写入存储介质时对数据进行加密，从存储介质中读取数据时自动解密，防止攻击者绕过数据库认证机制直接读取数据文件中的数据，以解决静态数据泄露问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3.3.3数据库审计：所有操作都可以被审计。审计员独立完成审计策略制定，不受管理员约束。审计员操作被强制记录，不可更改；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3.4高可用能力需求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3.4.1秒级故障恢复：对于重启可恢复的故障，RTO在1s以内；对于硬件故障如坏盘、断电等场景，需要更换节点的，RTO在5s以内。</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3.4.2两地三中心容灾：支持两地三中心部署，实现金融及高可用。</w:t>
      </w:r>
    </w:p>
    <w:p>
      <w:pPr>
        <w:pStyle w:val="2"/>
        <w:keepNext/>
        <w:keepLines/>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leftChars="0"/>
        <w:textAlignment w:val="auto"/>
        <w:rPr>
          <w:rFonts w:hint="default" w:cs="Times New Roman"/>
          <w:b/>
          <w:bCs/>
          <w:sz w:val="28"/>
          <w:szCs w:val="28"/>
          <w:lang w:eastAsia="zh-CN"/>
        </w:rPr>
      </w:pPr>
      <w:bookmarkStart w:id="0" w:name="_6.1.1、大数据服务器"/>
      <w:bookmarkEnd w:id="0"/>
      <w:bookmarkStart w:id="1" w:name="_6.1.2、容器服务器"/>
      <w:bookmarkEnd w:id="1"/>
      <w:r>
        <w:rPr>
          <w:rFonts w:hint="eastAsia" w:cs="Times New Roman"/>
          <w:b/>
          <w:bCs/>
          <w:sz w:val="28"/>
          <w:szCs w:val="28"/>
          <w:lang w:eastAsia="zh-CN"/>
        </w:rPr>
        <w:t>（</w:t>
      </w:r>
      <w:r>
        <w:rPr>
          <w:rFonts w:hint="eastAsia" w:cs="Times New Roman"/>
          <w:b/>
          <w:bCs/>
          <w:sz w:val="28"/>
          <w:szCs w:val="28"/>
          <w:lang w:val="en-US" w:eastAsia="zh-CN"/>
        </w:rPr>
        <w:t>三</w:t>
      </w:r>
      <w:r>
        <w:rPr>
          <w:rFonts w:hint="eastAsia" w:cs="Times New Roman"/>
          <w:b/>
          <w:bCs/>
          <w:sz w:val="28"/>
          <w:szCs w:val="28"/>
          <w:lang w:eastAsia="zh-CN"/>
        </w:rPr>
        <w:t>）</w:t>
      </w:r>
      <w:r>
        <w:rPr>
          <w:rFonts w:hint="eastAsia" w:cs="Times New Roman"/>
          <w:b/>
          <w:bCs/>
          <w:sz w:val="28"/>
          <w:szCs w:val="28"/>
          <w:lang w:val="en-US" w:eastAsia="zh-CN"/>
        </w:rPr>
        <w:t>成果转化</w:t>
      </w:r>
      <w:r>
        <w:rPr>
          <w:rFonts w:hint="default" w:cs="Times New Roman"/>
          <w:b/>
          <w:bCs/>
          <w:sz w:val="28"/>
          <w:szCs w:val="28"/>
          <w:lang w:eastAsia="zh-CN"/>
        </w:rPr>
        <w:t>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为确保本次软件项目招标采购的成果能够最大化地转化为实际应用和经济效益，特对供应商提出以下软件著作权（软著）和专利转化的具体要求：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软件著作权转化：供应商需承诺，在软件开发过程中注重软件著作权的保护和申请工作。软件开发完成后，应及时向国家版权局提交软件著作权登记申请，确保软件的合法性和独创性。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专利转化：供应商在软件开发和技术研发过程中，应积极挖掘和申报与软件相关的发明专利、实用新型专利等。对于具有创新性和实用价值的技术方案，应及时向国家知识产权局提交专利申请。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rPr>
      </w:pPr>
    </w:p>
    <w:p>
      <w:pPr>
        <w:pStyle w:val="2"/>
        <w:keepNext/>
        <w:keepLines/>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leftChars="0"/>
        <w:textAlignment w:val="auto"/>
        <w:rPr>
          <w:rFonts w:hint="eastAsia" w:cs="Times New Roman"/>
          <w:b/>
          <w:bCs/>
          <w:sz w:val="28"/>
          <w:szCs w:val="28"/>
          <w:lang w:eastAsia="zh-CN"/>
        </w:rPr>
      </w:pPr>
      <w:r>
        <w:rPr>
          <w:rFonts w:hint="eastAsia" w:cs="Times New Roman"/>
          <w:b/>
          <w:bCs/>
          <w:sz w:val="28"/>
          <w:szCs w:val="28"/>
          <w:lang w:eastAsia="zh-CN"/>
        </w:rPr>
        <w:t>（</w:t>
      </w:r>
      <w:r>
        <w:rPr>
          <w:rFonts w:hint="eastAsia" w:cs="Times New Roman"/>
          <w:b/>
          <w:bCs/>
          <w:sz w:val="28"/>
          <w:szCs w:val="28"/>
          <w:lang w:val="en-US" w:eastAsia="zh-CN"/>
        </w:rPr>
        <w:t>四</w:t>
      </w:r>
      <w:bookmarkStart w:id="2" w:name="_GoBack"/>
      <w:bookmarkEnd w:id="2"/>
      <w:r>
        <w:rPr>
          <w:rFonts w:hint="eastAsia" w:cs="Times New Roman"/>
          <w:b/>
          <w:bCs/>
          <w:sz w:val="28"/>
          <w:szCs w:val="28"/>
          <w:lang w:eastAsia="zh-CN"/>
        </w:rPr>
        <w:t>）项目工期</w:t>
      </w:r>
    </w:p>
    <w:p>
      <w:pPr>
        <w:pageBreakBefore w:val="0"/>
        <w:widowControl w:val="0"/>
        <w:numPr>
          <w:ilvl w:val="0"/>
          <w:numId w:val="3"/>
        </w:numPr>
        <w:tabs>
          <w:tab w:val="left" w:pos="420"/>
          <w:tab w:val="left" w:pos="780"/>
        </w:tabs>
        <w:kinsoku/>
        <w:wordWrap/>
        <w:overflowPunct/>
        <w:topLinePunct w:val="0"/>
        <w:autoSpaceDE/>
        <w:autoSpaceDN/>
        <w:bidi w:val="0"/>
        <w:adjustRightInd w:val="0"/>
        <w:snapToGrid w:val="0"/>
        <w:spacing w:line="360" w:lineRule="auto"/>
        <w:textAlignment w:val="auto"/>
        <w:outlineLvl w:val="0"/>
        <w:rPr>
          <w:rFonts w:ascii="宋体" w:hAnsi="宋体" w:cs="宋体"/>
          <w:sz w:val="24"/>
          <w:szCs w:val="24"/>
        </w:rPr>
      </w:pPr>
      <w:r>
        <w:rPr>
          <w:rFonts w:hint="eastAsia" w:ascii="宋体" w:hAnsi="宋体" w:cs="宋体"/>
          <w:sz w:val="24"/>
          <w:szCs w:val="24"/>
        </w:rPr>
        <w:t>自合同签订日起，须在</w:t>
      </w:r>
      <w:r>
        <w:rPr>
          <w:rFonts w:hint="eastAsia" w:ascii="宋体" w:hAnsi="宋体" w:cs="宋体"/>
          <w:sz w:val="24"/>
          <w:szCs w:val="24"/>
          <w:u w:val="single"/>
        </w:rPr>
        <w:t>10</w:t>
      </w:r>
      <w:r>
        <w:rPr>
          <w:rFonts w:hint="eastAsia" w:ascii="宋体" w:hAnsi="宋体" w:cs="宋体"/>
          <w:sz w:val="24"/>
          <w:szCs w:val="24"/>
        </w:rPr>
        <w:t>作日内对《用户需求说明书》进行补充、确认或提出意见。</w:t>
      </w:r>
    </w:p>
    <w:p>
      <w:pPr>
        <w:pageBreakBefore w:val="0"/>
        <w:widowControl w:val="0"/>
        <w:numPr>
          <w:ilvl w:val="0"/>
          <w:numId w:val="3"/>
        </w:numPr>
        <w:tabs>
          <w:tab w:val="left" w:pos="780"/>
        </w:tabs>
        <w:kinsoku/>
        <w:wordWrap/>
        <w:overflowPunct/>
        <w:topLinePunct w:val="0"/>
        <w:autoSpaceDE/>
        <w:autoSpaceDN/>
        <w:bidi w:val="0"/>
        <w:adjustRightInd w:val="0"/>
        <w:snapToGrid w:val="0"/>
        <w:spacing w:line="360" w:lineRule="auto"/>
        <w:textAlignment w:val="auto"/>
        <w:outlineLvl w:val="0"/>
        <w:rPr>
          <w:rFonts w:ascii="宋体" w:hAnsi="宋体" w:cs="宋体"/>
          <w:sz w:val="24"/>
          <w:szCs w:val="24"/>
        </w:rPr>
      </w:pPr>
      <w:r>
        <w:rPr>
          <w:rFonts w:hint="eastAsia" w:ascii="宋体" w:hAnsi="宋体" w:cs="宋体"/>
          <w:sz w:val="24"/>
          <w:szCs w:val="24"/>
        </w:rPr>
        <w:t>对《用户需求说明书》提出意见后，院方组织进行用户需求调研，根据调研情况提供业务调研记录、现况分析、功能设计及说明，双方共同整理并在</w:t>
      </w:r>
      <w:r>
        <w:rPr>
          <w:rFonts w:hint="eastAsia" w:ascii="宋体" w:hAnsi="宋体" w:cs="宋体"/>
          <w:sz w:val="24"/>
          <w:szCs w:val="24"/>
          <w:u w:val="single"/>
        </w:rPr>
        <w:t>7</w:t>
      </w:r>
      <w:r>
        <w:rPr>
          <w:rFonts w:hint="eastAsia" w:ascii="宋体" w:hAnsi="宋体" w:cs="宋体"/>
          <w:sz w:val="24"/>
          <w:szCs w:val="24"/>
        </w:rPr>
        <w:t>个工作日内确认《需求规格说明书》。</w:t>
      </w:r>
    </w:p>
    <w:p>
      <w:pPr>
        <w:pageBreakBefore w:val="0"/>
        <w:widowControl w:val="0"/>
        <w:numPr>
          <w:ilvl w:val="0"/>
          <w:numId w:val="3"/>
        </w:numPr>
        <w:tabs>
          <w:tab w:val="left" w:pos="780"/>
        </w:tabs>
        <w:kinsoku/>
        <w:wordWrap/>
        <w:overflowPunct/>
        <w:topLinePunct w:val="0"/>
        <w:autoSpaceDE/>
        <w:autoSpaceDN/>
        <w:bidi w:val="0"/>
        <w:adjustRightInd w:val="0"/>
        <w:snapToGrid w:val="0"/>
        <w:spacing w:line="360" w:lineRule="auto"/>
        <w:textAlignment w:val="auto"/>
        <w:outlineLvl w:val="0"/>
        <w:rPr>
          <w:rFonts w:ascii="宋体" w:hAnsi="宋体" w:cs="宋体"/>
          <w:sz w:val="24"/>
          <w:szCs w:val="24"/>
        </w:rPr>
      </w:pPr>
      <w:r>
        <w:rPr>
          <w:rFonts w:hint="eastAsia" w:ascii="宋体" w:hAnsi="宋体" w:cs="宋体"/>
          <w:sz w:val="24"/>
          <w:szCs w:val="24"/>
        </w:rPr>
        <w:t>须在《需求规格说明书》确认后的</w:t>
      </w:r>
      <w:r>
        <w:rPr>
          <w:rFonts w:hint="eastAsia" w:ascii="宋体" w:hAnsi="宋体" w:cs="宋体"/>
          <w:sz w:val="24"/>
          <w:szCs w:val="24"/>
          <w:u w:val="single"/>
        </w:rPr>
        <w:t>180</w:t>
      </w:r>
      <w:r>
        <w:rPr>
          <w:rFonts w:hint="eastAsia" w:ascii="宋体" w:hAnsi="宋体" w:cs="宋体"/>
          <w:sz w:val="24"/>
          <w:szCs w:val="24"/>
        </w:rPr>
        <w:t>日内完成实施导入和保证系统正常工作。</w:t>
      </w:r>
    </w:p>
    <w:p>
      <w:pPr>
        <w:pageBreakBefore w:val="0"/>
        <w:widowControl w:val="0"/>
        <w:numPr>
          <w:ilvl w:val="0"/>
          <w:numId w:val="3"/>
        </w:numPr>
        <w:tabs>
          <w:tab w:val="left" w:pos="780"/>
        </w:tabs>
        <w:kinsoku/>
        <w:wordWrap/>
        <w:overflowPunct/>
        <w:topLinePunct w:val="0"/>
        <w:autoSpaceDE/>
        <w:autoSpaceDN/>
        <w:bidi w:val="0"/>
        <w:adjustRightInd w:val="0"/>
        <w:snapToGrid w:val="0"/>
        <w:spacing w:line="360" w:lineRule="auto"/>
        <w:textAlignment w:val="auto"/>
        <w:outlineLvl w:val="0"/>
        <w:rPr>
          <w:rFonts w:ascii="宋体" w:hAnsi="宋体" w:cs="宋体"/>
          <w:sz w:val="24"/>
          <w:szCs w:val="24"/>
        </w:rPr>
      </w:pPr>
      <w:r>
        <w:rPr>
          <w:rFonts w:hint="eastAsia" w:ascii="宋体" w:hAnsi="宋体" w:cs="宋体"/>
          <w:sz w:val="24"/>
          <w:szCs w:val="24"/>
        </w:rPr>
        <w:t>完成软件实施，并根据院方提出的新需求完成修改后，系统运行</w:t>
      </w:r>
      <w:r>
        <w:rPr>
          <w:rFonts w:hint="eastAsia" w:ascii="宋体" w:hAnsi="宋体" w:cs="宋体"/>
          <w:sz w:val="24"/>
          <w:szCs w:val="24"/>
          <w:u w:val="single"/>
        </w:rPr>
        <w:t>1</w:t>
      </w:r>
      <w:r>
        <w:rPr>
          <w:rFonts w:hint="eastAsia" w:ascii="宋体" w:hAnsi="宋体" w:cs="宋体"/>
          <w:sz w:val="24"/>
          <w:szCs w:val="24"/>
        </w:rPr>
        <w:t>月以上无软件故障出现，则向院方申请验收。</w:t>
      </w:r>
    </w:p>
    <w:p>
      <w:pPr>
        <w:rPr>
          <w:sz w:val="24"/>
          <w:szCs w:val="24"/>
        </w:rPr>
      </w:pPr>
    </w:p>
    <w:p>
      <w:pPr>
        <w:pStyle w:val="2"/>
        <w:numPr>
          <w:ilvl w:val="0"/>
          <w:numId w:val="2"/>
        </w:numPr>
        <w:spacing w:before="0" w:after="0"/>
        <w:rPr>
          <w:rFonts w:ascii="宋体" w:hAnsi="宋体"/>
          <w:color w:val="FF0000"/>
          <w:sz w:val="32"/>
          <w:szCs w:val="32"/>
        </w:rPr>
      </w:pPr>
      <w:r>
        <w:rPr>
          <w:rFonts w:hint="eastAsia" w:ascii="宋体" w:hAnsi="宋体"/>
          <w:sz w:val="32"/>
          <w:szCs w:val="32"/>
        </w:rPr>
        <w:t>集成技术及实施</w:t>
      </w:r>
      <w:r>
        <w:rPr>
          <w:rFonts w:ascii="宋体" w:hAnsi="宋体"/>
          <w:sz w:val="32"/>
          <w:szCs w:val="32"/>
        </w:rPr>
        <w:t>服务要求</w:t>
      </w:r>
      <w:r>
        <w:rPr>
          <w:rFonts w:ascii="宋体" w:hAnsi="宋体"/>
          <w:color w:val="FF0000"/>
          <w:sz w:val="32"/>
          <w:szCs w:val="32"/>
        </w:rPr>
        <w:t xml:space="preserve"> </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项目实施</w:t>
      </w:r>
      <w:r>
        <w:rPr>
          <w:rFonts w:ascii="宋体" w:hAnsi="宋体" w:cs="宋体"/>
          <w:sz w:val="24"/>
          <w:szCs w:val="24"/>
        </w:rPr>
        <w:t>期</w:t>
      </w:r>
      <w:r>
        <w:rPr>
          <w:rFonts w:hint="eastAsia" w:ascii="宋体" w:hAnsi="宋体" w:cs="宋体"/>
          <w:sz w:val="24"/>
          <w:szCs w:val="24"/>
        </w:rPr>
        <w:t>内承建商提供专职工程师名驻扎本院，工作时间与院方工作时间一致，并且提供7*24小时响应服务。</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项目承建商需根据院方的详细需求，提交项目系统的安装、调试及培训实施方案，方案得到院方确认后实施，保证系统按时、正常地投入运行。</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验收由承建商给出具体的验收计划、测试的内容和方法，经院方审核通过后，方可进行验收测试。</w:t>
      </w:r>
    </w:p>
    <w:p/>
    <w:p>
      <w:pPr>
        <w:pStyle w:val="2"/>
        <w:numPr>
          <w:ilvl w:val="0"/>
          <w:numId w:val="2"/>
        </w:numPr>
        <w:spacing w:before="0" w:after="0"/>
        <w:rPr>
          <w:rFonts w:ascii="宋体" w:hAnsi="宋体"/>
          <w:color w:val="FF0000"/>
          <w:sz w:val="32"/>
          <w:szCs w:val="32"/>
        </w:rPr>
      </w:pPr>
      <w:r>
        <w:rPr>
          <w:rFonts w:hint="eastAsia" w:ascii="宋体" w:hAnsi="宋体"/>
          <w:sz w:val="32"/>
          <w:szCs w:val="32"/>
        </w:rPr>
        <w:t>后续维护服务</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软件维护期从合同标的验收合格之日算起，期限为12个月。在维护期内，承建商提供技术支持和指导，以及软件的局部改进完善以及故障情况下的现场问题解决。</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维保期内承建商为院方提供维护及服务的部门及固定的专职技术人员。承建商提供专职工程师名驻扎本院，工作时间与院方工作时间一致，并且提供7*24小时响应服务。</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在维护期结束前，须由承建商和院方进行一次全面检查，任何缺陷必须由承建商负责修复，在修复之后，承建商应将缺陷原因、修复内容、完成修理及恢复正常的时间和日期等报告给院方，形成项目总结报告。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Lines="50" w:line="360" w:lineRule="auto"/>
        <w:ind w:firstLine="480" w:firstLineChars="200"/>
        <w:outlineLvl w:val="0"/>
        <w:rPr>
          <w:rFonts w:ascii="宋体" w:hAnsi="宋体" w:cs="宋体"/>
          <w:sz w:val="24"/>
          <w:szCs w:val="24"/>
        </w:rPr>
      </w:pPr>
      <w:r>
        <w:rPr>
          <w:rFonts w:hint="eastAsia" w:ascii="宋体" w:hAnsi="宋体" w:cs="宋体"/>
          <w:sz w:val="24"/>
          <w:szCs w:val="24"/>
        </w:rPr>
        <w:t>超过维护期的，双方另行协商签订维护合同，服务方报价不超过合同软件部分金额的8%。</w:t>
      </w:r>
    </w:p>
    <w:p>
      <w:pPr>
        <w:pStyle w:val="2"/>
        <w:numPr>
          <w:ilvl w:val="0"/>
          <w:numId w:val="2"/>
        </w:numPr>
        <w:spacing w:before="0" w:after="0"/>
        <w:rPr>
          <w:rFonts w:ascii="宋体" w:hAnsi="宋体"/>
          <w:color w:val="FF0000"/>
          <w:sz w:val="32"/>
          <w:szCs w:val="32"/>
        </w:rPr>
      </w:pPr>
      <w:r>
        <w:rPr>
          <w:rFonts w:hint="eastAsia" w:ascii="宋体" w:hAnsi="宋体"/>
          <w:sz w:val="32"/>
          <w:szCs w:val="32"/>
        </w:rPr>
        <w:t>合同款支付方式</w:t>
      </w:r>
    </w:p>
    <w:p>
      <w:pPr>
        <w:spacing w:line="360" w:lineRule="auto"/>
        <w:ind w:firstLine="720" w:firstLineChars="300"/>
        <w:rPr>
          <w:rFonts w:ascii="宋体" w:hAnsi="宋体" w:cs="宋体"/>
          <w:sz w:val="24"/>
          <w:szCs w:val="24"/>
        </w:rPr>
      </w:pPr>
      <w:r>
        <w:rPr>
          <w:rFonts w:hint="eastAsia" w:ascii="宋体" w:hAnsi="宋体" w:cs="宋体"/>
          <w:sz w:val="24"/>
          <w:szCs w:val="24"/>
        </w:rPr>
        <w:t>(一)合同签订后，在收到承建商开具相应金额正式发票后，支付合同总金额的30%。</w:t>
      </w:r>
    </w:p>
    <w:p>
      <w:pPr>
        <w:spacing w:line="360" w:lineRule="auto"/>
        <w:ind w:firstLine="720" w:firstLineChars="300"/>
        <w:rPr>
          <w:rFonts w:ascii="宋体" w:hAnsi="宋体" w:cs="宋体"/>
          <w:sz w:val="24"/>
          <w:szCs w:val="24"/>
        </w:rPr>
      </w:pPr>
      <w:r>
        <w:rPr>
          <w:rFonts w:hint="eastAsia" w:ascii="宋体" w:hAnsi="宋体" w:cs="宋体"/>
          <w:sz w:val="24"/>
          <w:szCs w:val="24"/>
        </w:rPr>
        <w:t>(二)软件验收通过后，在收到承建商开具相应金额正式发票后，支付合同总金额的70%。</w:t>
      </w:r>
    </w:p>
    <w:p>
      <w:pPr>
        <w:tabs>
          <w:tab w:val="left" w:pos="780"/>
        </w:tabs>
        <w:spacing w:beforeLines="50" w:line="360" w:lineRule="auto"/>
        <w:outlineLvl w:val="0"/>
        <w:rPr>
          <w:rFonts w:ascii="宋体" w:hAnsi="宋体" w:cs="宋体"/>
          <w:b/>
          <w:color w:val="FF0000"/>
          <w:sz w:val="30"/>
          <w:szCs w:val="30"/>
        </w:rPr>
      </w:pP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1</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152B2"/>
    <w:multiLevelType w:val="multilevel"/>
    <w:tmpl w:val="13E152B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lvlText w:val="5.1.1.%4"/>
      <w:lvlJc w:val="left"/>
      <w:pPr>
        <w:ind w:left="864" w:hanging="864"/>
      </w:pPr>
      <w:rPr>
        <w:rFonts w:hint="eastAsia"/>
      </w:rPr>
    </w:lvl>
    <w:lvl w:ilvl="4" w:tentative="0">
      <w:start w:val="1"/>
      <w:numFmt w:val="decimal"/>
      <w:lvlText w:val="5.1.1.1.%5"/>
      <w:lvlJc w:val="left"/>
      <w:pPr>
        <w:ind w:left="2142"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OGI2ODY4NTA4NDliYzNkMzQ3ZDQ5ZjVhNTliYjQifQ=="/>
  </w:docVars>
  <w:rsids>
    <w:rsidRoot w:val="00303343"/>
    <w:rsid w:val="000051D2"/>
    <w:rsid w:val="000070D8"/>
    <w:rsid w:val="000079DD"/>
    <w:rsid w:val="00012DCC"/>
    <w:rsid w:val="00016B63"/>
    <w:rsid w:val="00016E51"/>
    <w:rsid w:val="00042DAC"/>
    <w:rsid w:val="0004334E"/>
    <w:rsid w:val="00046B39"/>
    <w:rsid w:val="00054706"/>
    <w:rsid w:val="00066DE7"/>
    <w:rsid w:val="00074EDD"/>
    <w:rsid w:val="000757C1"/>
    <w:rsid w:val="00086AE0"/>
    <w:rsid w:val="00090014"/>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8200C"/>
    <w:rsid w:val="001833B6"/>
    <w:rsid w:val="00190CD2"/>
    <w:rsid w:val="00194BFE"/>
    <w:rsid w:val="001A22A1"/>
    <w:rsid w:val="001B0AA1"/>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54E12"/>
    <w:rsid w:val="00360458"/>
    <w:rsid w:val="00366980"/>
    <w:rsid w:val="00370A5D"/>
    <w:rsid w:val="003802E2"/>
    <w:rsid w:val="00385E95"/>
    <w:rsid w:val="00385FED"/>
    <w:rsid w:val="00397B7E"/>
    <w:rsid w:val="003A7269"/>
    <w:rsid w:val="003C0FB7"/>
    <w:rsid w:val="003C6D81"/>
    <w:rsid w:val="003D0F80"/>
    <w:rsid w:val="003D2595"/>
    <w:rsid w:val="003E7083"/>
    <w:rsid w:val="003F3286"/>
    <w:rsid w:val="003F629F"/>
    <w:rsid w:val="00403938"/>
    <w:rsid w:val="00413DA3"/>
    <w:rsid w:val="00414171"/>
    <w:rsid w:val="0041787F"/>
    <w:rsid w:val="00420D60"/>
    <w:rsid w:val="00423450"/>
    <w:rsid w:val="0042702D"/>
    <w:rsid w:val="004333E2"/>
    <w:rsid w:val="00435C81"/>
    <w:rsid w:val="0044060A"/>
    <w:rsid w:val="00440F72"/>
    <w:rsid w:val="004565AA"/>
    <w:rsid w:val="00456A2C"/>
    <w:rsid w:val="004630DC"/>
    <w:rsid w:val="00474AE0"/>
    <w:rsid w:val="0047796F"/>
    <w:rsid w:val="00482931"/>
    <w:rsid w:val="00495574"/>
    <w:rsid w:val="004A44FF"/>
    <w:rsid w:val="004C2C5B"/>
    <w:rsid w:val="004E2D8F"/>
    <w:rsid w:val="004E5E61"/>
    <w:rsid w:val="004F1410"/>
    <w:rsid w:val="004F4FA0"/>
    <w:rsid w:val="00500264"/>
    <w:rsid w:val="00510B1E"/>
    <w:rsid w:val="005120A9"/>
    <w:rsid w:val="00517D7C"/>
    <w:rsid w:val="00520646"/>
    <w:rsid w:val="0052176F"/>
    <w:rsid w:val="0052604B"/>
    <w:rsid w:val="0053088D"/>
    <w:rsid w:val="00534BF6"/>
    <w:rsid w:val="00537CDE"/>
    <w:rsid w:val="005409FC"/>
    <w:rsid w:val="005563D3"/>
    <w:rsid w:val="00556EFC"/>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20E68"/>
    <w:rsid w:val="00623637"/>
    <w:rsid w:val="006279C6"/>
    <w:rsid w:val="00644F1D"/>
    <w:rsid w:val="00646B59"/>
    <w:rsid w:val="006604C2"/>
    <w:rsid w:val="00666947"/>
    <w:rsid w:val="006861F5"/>
    <w:rsid w:val="00697FBB"/>
    <w:rsid w:val="006B2085"/>
    <w:rsid w:val="006B21B8"/>
    <w:rsid w:val="006B7B58"/>
    <w:rsid w:val="006C36EB"/>
    <w:rsid w:val="006D4B15"/>
    <w:rsid w:val="006D59F7"/>
    <w:rsid w:val="006E5E07"/>
    <w:rsid w:val="006F0434"/>
    <w:rsid w:val="00701D12"/>
    <w:rsid w:val="0070239F"/>
    <w:rsid w:val="007144E5"/>
    <w:rsid w:val="0072309C"/>
    <w:rsid w:val="0072695B"/>
    <w:rsid w:val="00734DD7"/>
    <w:rsid w:val="0074224C"/>
    <w:rsid w:val="00750A70"/>
    <w:rsid w:val="00752912"/>
    <w:rsid w:val="007556BE"/>
    <w:rsid w:val="007621CC"/>
    <w:rsid w:val="0076668A"/>
    <w:rsid w:val="00784C08"/>
    <w:rsid w:val="00785EDF"/>
    <w:rsid w:val="00786A29"/>
    <w:rsid w:val="00795F59"/>
    <w:rsid w:val="007C0A5B"/>
    <w:rsid w:val="007C69DA"/>
    <w:rsid w:val="007D22AB"/>
    <w:rsid w:val="007E71E6"/>
    <w:rsid w:val="007F2BB9"/>
    <w:rsid w:val="007F5726"/>
    <w:rsid w:val="008168FB"/>
    <w:rsid w:val="00822BA6"/>
    <w:rsid w:val="008419E9"/>
    <w:rsid w:val="008548FB"/>
    <w:rsid w:val="008623FD"/>
    <w:rsid w:val="00866774"/>
    <w:rsid w:val="00873B97"/>
    <w:rsid w:val="0089723A"/>
    <w:rsid w:val="008A62AC"/>
    <w:rsid w:val="008B2206"/>
    <w:rsid w:val="008C255D"/>
    <w:rsid w:val="008C6AC5"/>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2CA0"/>
    <w:rsid w:val="00943004"/>
    <w:rsid w:val="00966A88"/>
    <w:rsid w:val="00973A47"/>
    <w:rsid w:val="00981ED8"/>
    <w:rsid w:val="009822C7"/>
    <w:rsid w:val="00982AA3"/>
    <w:rsid w:val="009863EF"/>
    <w:rsid w:val="00986A41"/>
    <w:rsid w:val="0098719A"/>
    <w:rsid w:val="00991FF2"/>
    <w:rsid w:val="0099315B"/>
    <w:rsid w:val="00995DD9"/>
    <w:rsid w:val="009B4476"/>
    <w:rsid w:val="009C1F02"/>
    <w:rsid w:val="009C3783"/>
    <w:rsid w:val="009C4E7E"/>
    <w:rsid w:val="009D3E4B"/>
    <w:rsid w:val="009D6951"/>
    <w:rsid w:val="009D7DD1"/>
    <w:rsid w:val="009E0351"/>
    <w:rsid w:val="009E214B"/>
    <w:rsid w:val="009E53AF"/>
    <w:rsid w:val="009F0270"/>
    <w:rsid w:val="009F61FA"/>
    <w:rsid w:val="00A05796"/>
    <w:rsid w:val="00A13CB0"/>
    <w:rsid w:val="00A14FD8"/>
    <w:rsid w:val="00A22CA1"/>
    <w:rsid w:val="00A32E99"/>
    <w:rsid w:val="00A4595D"/>
    <w:rsid w:val="00A51146"/>
    <w:rsid w:val="00A61D3A"/>
    <w:rsid w:val="00A64C0A"/>
    <w:rsid w:val="00A66833"/>
    <w:rsid w:val="00A70DCF"/>
    <w:rsid w:val="00A72437"/>
    <w:rsid w:val="00A73FDF"/>
    <w:rsid w:val="00A824B9"/>
    <w:rsid w:val="00A870DD"/>
    <w:rsid w:val="00A925CE"/>
    <w:rsid w:val="00A96157"/>
    <w:rsid w:val="00A969AF"/>
    <w:rsid w:val="00A9729E"/>
    <w:rsid w:val="00AA1F69"/>
    <w:rsid w:val="00AB348F"/>
    <w:rsid w:val="00AB7D36"/>
    <w:rsid w:val="00AC1390"/>
    <w:rsid w:val="00AC31B7"/>
    <w:rsid w:val="00AC4663"/>
    <w:rsid w:val="00AE1DD2"/>
    <w:rsid w:val="00AE23E6"/>
    <w:rsid w:val="00AE4106"/>
    <w:rsid w:val="00B12138"/>
    <w:rsid w:val="00B17749"/>
    <w:rsid w:val="00B17AE9"/>
    <w:rsid w:val="00B17C05"/>
    <w:rsid w:val="00B20334"/>
    <w:rsid w:val="00B20819"/>
    <w:rsid w:val="00B225B9"/>
    <w:rsid w:val="00B24AB1"/>
    <w:rsid w:val="00B312C1"/>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13D3"/>
    <w:rsid w:val="00C54491"/>
    <w:rsid w:val="00C70BB3"/>
    <w:rsid w:val="00C71B43"/>
    <w:rsid w:val="00C74D8F"/>
    <w:rsid w:val="00C751A9"/>
    <w:rsid w:val="00C766DD"/>
    <w:rsid w:val="00C76ADA"/>
    <w:rsid w:val="00C76BDF"/>
    <w:rsid w:val="00C775CE"/>
    <w:rsid w:val="00C8030E"/>
    <w:rsid w:val="00C91697"/>
    <w:rsid w:val="00C92EAA"/>
    <w:rsid w:val="00CA148F"/>
    <w:rsid w:val="00CA29F9"/>
    <w:rsid w:val="00CB6B73"/>
    <w:rsid w:val="00CC218D"/>
    <w:rsid w:val="00CC6334"/>
    <w:rsid w:val="00CC677A"/>
    <w:rsid w:val="00CD008E"/>
    <w:rsid w:val="00CD49B4"/>
    <w:rsid w:val="00CD6EDC"/>
    <w:rsid w:val="00CE1E62"/>
    <w:rsid w:val="00CE2D1F"/>
    <w:rsid w:val="00CF1561"/>
    <w:rsid w:val="00CF1A40"/>
    <w:rsid w:val="00CF36EF"/>
    <w:rsid w:val="00CF4AE2"/>
    <w:rsid w:val="00D1110F"/>
    <w:rsid w:val="00D15B10"/>
    <w:rsid w:val="00D23E20"/>
    <w:rsid w:val="00D30FA6"/>
    <w:rsid w:val="00D32842"/>
    <w:rsid w:val="00D407EB"/>
    <w:rsid w:val="00D454AB"/>
    <w:rsid w:val="00D536AB"/>
    <w:rsid w:val="00D54E0C"/>
    <w:rsid w:val="00D5537A"/>
    <w:rsid w:val="00D71136"/>
    <w:rsid w:val="00D77F36"/>
    <w:rsid w:val="00D9057D"/>
    <w:rsid w:val="00DA026E"/>
    <w:rsid w:val="00DA576E"/>
    <w:rsid w:val="00DB0A86"/>
    <w:rsid w:val="00DB57B7"/>
    <w:rsid w:val="00DC10EE"/>
    <w:rsid w:val="00DC33CF"/>
    <w:rsid w:val="00DC3415"/>
    <w:rsid w:val="00DD3DE6"/>
    <w:rsid w:val="00DE4534"/>
    <w:rsid w:val="00DF3D3A"/>
    <w:rsid w:val="00DF4228"/>
    <w:rsid w:val="00E06670"/>
    <w:rsid w:val="00E17266"/>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226A"/>
    <w:rsid w:val="00F33DB0"/>
    <w:rsid w:val="00F45DB8"/>
    <w:rsid w:val="00F54D29"/>
    <w:rsid w:val="00F62BCD"/>
    <w:rsid w:val="00F74B77"/>
    <w:rsid w:val="00F764FE"/>
    <w:rsid w:val="00F80625"/>
    <w:rsid w:val="00F827B6"/>
    <w:rsid w:val="00F92BE5"/>
    <w:rsid w:val="00FA0574"/>
    <w:rsid w:val="00FB68D3"/>
    <w:rsid w:val="00FC4B75"/>
    <w:rsid w:val="00FE7554"/>
    <w:rsid w:val="00FF17FE"/>
    <w:rsid w:val="01760C18"/>
    <w:rsid w:val="03545C48"/>
    <w:rsid w:val="21005CE8"/>
    <w:rsid w:val="267267AA"/>
    <w:rsid w:val="2B067A32"/>
    <w:rsid w:val="34E23123"/>
    <w:rsid w:val="359D0A22"/>
    <w:rsid w:val="42200080"/>
    <w:rsid w:val="488C513A"/>
    <w:rsid w:val="520E2569"/>
    <w:rsid w:val="522B03FB"/>
    <w:rsid w:val="70B16743"/>
    <w:rsid w:val="78627EE7"/>
    <w:rsid w:val="7C3203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7"/>
    <w:autoRedefine/>
    <w:qFormat/>
    <w:uiPriority w:val="0"/>
    <w:pPr>
      <w:keepNext/>
      <w:keepLines/>
      <w:spacing w:before="260" w:after="260" w:line="416" w:lineRule="auto"/>
      <w:outlineLvl w:val="2"/>
    </w:pPr>
    <w:rPr>
      <w:b/>
      <w:bCs/>
      <w:sz w:val="30"/>
      <w:szCs w:val="30"/>
    </w:rPr>
  </w:style>
  <w:style w:type="paragraph" w:styleId="5">
    <w:name w:val="heading 4"/>
    <w:basedOn w:val="1"/>
    <w:next w:val="1"/>
    <w:link w:val="28"/>
    <w:autoRedefine/>
    <w:qFormat/>
    <w:uiPriority w:val="0"/>
    <w:pPr>
      <w:keepNext/>
      <w:keepLines/>
      <w:spacing w:before="280" w:after="290" w:line="376" w:lineRule="auto"/>
      <w:ind w:left="864" w:hanging="864"/>
      <w:outlineLvl w:val="3"/>
    </w:pPr>
    <w:rPr>
      <w:rFonts w:ascii="宋体" w:hAnsi="宋体"/>
      <w:b/>
      <w:bCs/>
      <w:sz w:val="28"/>
      <w:szCs w:val="28"/>
    </w:rPr>
  </w:style>
  <w:style w:type="paragraph" w:styleId="6">
    <w:name w:val="heading 5"/>
    <w:basedOn w:val="1"/>
    <w:next w:val="1"/>
    <w:link w:val="29"/>
    <w:autoRedefine/>
    <w:qFormat/>
    <w:uiPriority w:val="0"/>
    <w:pPr>
      <w:keepNext/>
      <w:keepLines/>
      <w:spacing w:before="280" w:after="290" w:line="376" w:lineRule="auto"/>
      <w:ind w:left="2142" w:hanging="1008"/>
      <w:outlineLvl w:val="4"/>
    </w:pPr>
    <w:rPr>
      <w:b/>
      <w:bCs/>
      <w:sz w:val="28"/>
      <w:szCs w:val="28"/>
    </w:rPr>
  </w:style>
  <w:style w:type="paragraph" w:styleId="7">
    <w:name w:val="heading 6"/>
    <w:basedOn w:val="1"/>
    <w:next w:val="1"/>
    <w:link w:val="30"/>
    <w:autoRedefine/>
    <w:qFormat/>
    <w:uiPriority w:val="0"/>
    <w:pPr>
      <w:keepNext/>
      <w:keepLines/>
      <w:spacing w:before="240" w:after="64" w:line="320" w:lineRule="auto"/>
      <w:ind w:left="1152" w:hanging="1152"/>
      <w:outlineLvl w:val="5"/>
    </w:pPr>
    <w:rPr>
      <w:rFonts w:ascii="等线 Light" w:hAnsi="等线 Light" w:eastAsia="等线 Light"/>
      <w:b/>
      <w:bCs/>
      <w:sz w:val="24"/>
    </w:rPr>
  </w:style>
  <w:style w:type="paragraph" w:styleId="8">
    <w:name w:val="heading 7"/>
    <w:basedOn w:val="1"/>
    <w:next w:val="1"/>
    <w:link w:val="31"/>
    <w:autoRedefine/>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32"/>
    <w:autoRedefine/>
    <w:qFormat/>
    <w:uiPriority w:val="0"/>
    <w:pPr>
      <w:keepNext/>
      <w:keepLines/>
      <w:spacing w:before="240" w:after="64" w:line="320" w:lineRule="auto"/>
      <w:ind w:left="1440" w:hanging="1440"/>
      <w:outlineLvl w:val="7"/>
    </w:pPr>
    <w:rPr>
      <w:rFonts w:ascii="等线 Light" w:hAnsi="等线 Light" w:eastAsia="等线 Light"/>
      <w:sz w:val="24"/>
    </w:rPr>
  </w:style>
  <w:style w:type="paragraph" w:styleId="10">
    <w:name w:val="heading 9"/>
    <w:basedOn w:val="1"/>
    <w:next w:val="1"/>
    <w:link w:val="33"/>
    <w:autoRedefine/>
    <w:qFormat/>
    <w:uiPriority w:val="0"/>
    <w:pPr>
      <w:keepNext/>
      <w:keepLines/>
      <w:spacing w:before="240" w:after="64" w:line="320" w:lineRule="auto"/>
      <w:ind w:left="1584" w:hanging="1584"/>
      <w:outlineLvl w:val="8"/>
    </w:pPr>
    <w:rPr>
      <w:rFonts w:ascii="等线 Light" w:hAnsi="等线 Light" w:eastAsia="等线 Light"/>
      <w:szCs w:val="21"/>
    </w:rPr>
  </w:style>
  <w:style w:type="character" w:default="1" w:styleId="21">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4"/>
    <w:autoRedefine/>
    <w:qFormat/>
    <w:uiPriority w:val="99"/>
    <w:pPr>
      <w:spacing w:beforeLines="50" w:line="360" w:lineRule="auto"/>
      <w:ind w:firstLine="512" w:firstLineChars="200"/>
    </w:pPr>
    <w:rPr>
      <w:spacing w:val="8"/>
      <w:sz w:val="24"/>
      <w:szCs w:val="20"/>
    </w:rPr>
  </w:style>
  <w:style w:type="paragraph" w:styleId="12">
    <w:name w:val="annotation text"/>
    <w:basedOn w:val="1"/>
    <w:link w:val="35"/>
    <w:unhideWhenUsed/>
    <w:qFormat/>
    <w:uiPriority w:val="0"/>
    <w:pPr>
      <w:jc w:val="left"/>
    </w:pPr>
    <w:rPr>
      <w:kern w:val="0"/>
      <w:sz w:val="20"/>
    </w:rPr>
  </w:style>
  <w:style w:type="paragraph" w:styleId="13">
    <w:name w:val="Plain Text"/>
    <w:basedOn w:val="1"/>
    <w:link w:val="36"/>
    <w:autoRedefine/>
    <w:qFormat/>
    <w:uiPriority w:val="0"/>
    <w:rPr>
      <w:rFonts w:ascii="Calibri" w:hAnsi="Courier New"/>
      <w:szCs w:val="20"/>
    </w:rPr>
  </w:style>
  <w:style w:type="paragraph" w:styleId="14">
    <w:name w:val="Balloon Text"/>
    <w:basedOn w:val="1"/>
    <w:link w:val="37"/>
    <w:qFormat/>
    <w:uiPriority w:val="0"/>
    <w:rPr>
      <w:sz w:val="18"/>
      <w:szCs w:val="18"/>
    </w:rPr>
  </w:style>
  <w:style w:type="paragraph" w:styleId="15">
    <w:name w:val="footer"/>
    <w:basedOn w:val="1"/>
    <w:link w:val="38"/>
    <w:autoRedefine/>
    <w:qFormat/>
    <w:uiPriority w:val="0"/>
    <w:pPr>
      <w:tabs>
        <w:tab w:val="center" w:pos="4153"/>
        <w:tab w:val="right" w:pos="8306"/>
      </w:tabs>
      <w:snapToGrid w:val="0"/>
      <w:jc w:val="left"/>
    </w:pPr>
    <w:rPr>
      <w:sz w:val="18"/>
      <w:szCs w:val="18"/>
    </w:rPr>
  </w:style>
  <w:style w:type="paragraph" w:styleId="16">
    <w:name w:val="header"/>
    <w:basedOn w:val="1"/>
    <w:link w:val="39"/>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63"/>
    <w:qFormat/>
    <w:uiPriority w:val="0"/>
    <w:pPr>
      <w:spacing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FollowedHyperlink"/>
    <w:qFormat/>
    <w:uiPriority w:val="0"/>
    <w:rPr>
      <w:color w:val="800080"/>
      <w:u w:val="single"/>
    </w:rPr>
  </w:style>
  <w:style w:type="character" w:styleId="23">
    <w:name w:val="Hyperlink"/>
    <w:qFormat/>
    <w:uiPriority w:val="0"/>
    <w:rPr>
      <w:color w:val="0563C1"/>
      <w:u w:val="single"/>
    </w:rPr>
  </w:style>
  <w:style w:type="character" w:styleId="24">
    <w:name w:val="annotation reference"/>
    <w:basedOn w:val="21"/>
    <w:unhideWhenUsed/>
    <w:qFormat/>
    <w:uiPriority w:val="99"/>
    <w:rPr>
      <w:sz w:val="21"/>
      <w:szCs w:val="21"/>
    </w:rPr>
  </w:style>
  <w:style w:type="character" w:customStyle="1" w:styleId="25">
    <w:name w:val="标题 1 Char"/>
    <w:link w:val="2"/>
    <w:qFormat/>
    <w:uiPriority w:val="0"/>
    <w:rPr>
      <w:b/>
      <w:bCs/>
      <w:kern w:val="44"/>
      <w:sz w:val="44"/>
      <w:szCs w:val="44"/>
    </w:rPr>
  </w:style>
  <w:style w:type="character" w:customStyle="1" w:styleId="26">
    <w:name w:val="标题 2 Char"/>
    <w:link w:val="3"/>
    <w:autoRedefine/>
    <w:qFormat/>
    <w:uiPriority w:val="0"/>
    <w:rPr>
      <w:rFonts w:ascii="等线 Light" w:hAnsi="等线 Light" w:eastAsia="等线 Light" w:cs="Times New Roman"/>
      <w:b/>
      <w:bCs/>
      <w:kern w:val="2"/>
      <w:sz w:val="32"/>
      <w:szCs w:val="32"/>
    </w:rPr>
  </w:style>
  <w:style w:type="character" w:customStyle="1" w:styleId="27">
    <w:name w:val="标题 3 Char"/>
    <w:link w:val="4"/>
    <w:qFormat/>
    <w:uiPriority w:val="0"/>
    <w:rPr>
      <w:b/>
      <w:bCs/>
      <w:kern w:val="2"/>
      <w:sz w:val="30"/>
      <w:szCs w:val="30"/>
    </w:rPr>
  </w:style>
  <w:style w:type="character" w:customStyle="1" w:styleId="28">
    <w:name w:val="标题 4 Char"/>
    <w:link w:val="5"/>
    <w:qFormat/>
    <w:uiPriority w:val="0"/>
    <w:rPr>
      <w:rFonts w:ascii="宋体" w:hAnsi="宋体"/>
      <w:b/>
      <w:bCs/>
      <w:kern w:val="2"/>
      <w:sz w:val="28"/>
      <w:szCs w:val="28"/>
    </w:rPr>
  </w:style>
  <w:style w:type="character" w:customStyle="1" w:styleId="29">
    <w:name w:val="标题 5 Char"/>
    <w:link w:val="6"/>
    <w:qFormat/>
    <w:uiPriority w:val="0"/>
    <w:rPr>
      <w:b/>
      <w:bCs/>
      <w:kern w:val="2"/>
      <w:sz w:val="28"/>
      <w:szCs w:val="28"/>
    </w:rPr>
  </w:style>
  <w:style w:type="character" w:customStyle="1" w:styleId="30">
    <w:name w:val="标题 6 Char"/>
    <w:link w:val="7"/>
    <w:autoRedefine/>
    <w:qFormat/>
    <w:uiPriority w:val="0"/>
    <w:rPr>
      <w:rFonts w:ascii="等线 Light" w:hAnsi="等线 Light" w:eastAsia="等线 Light"/>
      <w:b/>
      <w:bCs/>
      <w:kern w:val="2"/>
      <w:sz w:val="24"/>
      <w:szCs w:val="24"/>
    </w:rPr>
  </w:style>
  <w:style w:type="character" w:customStyle="1" w:styleId="31">
    <w:name w:val="标题 7 Char"/>
    <w:link w:val="8"/>
    <w:qFormat/>
    <w:uiPriority w:val="0"/>
    <w:rPr>
      <w:b/>
      <w:bCs/>
      <w:kern w:val="2"/>
      <w:sz w:val="24"/>
      <w:szCs w:val="24"/>
    </w:rPr>
  </w:style>
  <w:style w:type="character" w:customStyle="1" w:styleId="32">
    <w:name w:val="标题 8 Char"/>
    <w:link w:val="9"/>
    <w:autoRedefine/>
    <w:qFormat/>
    <w:uiPriority w:val="0"/>
    <w:rPr>
      <w:rFonts w:ascii="等线 Light" w:hAnsi="等线 Light" w:eastAsia="等线 Light"/>
      <w:kern w:val="2"/>
      <w:sz w:val="24"/>
      <w:szCs w:val="24"/>
    </w:rPr>
  </w:style>
  <w:style w:type="character" w:customStyle="1" w:styleId="33">
    <w:name w:val="标题 9 Char"/>
    <w:link w:val="10"/>
    <w:autoRedefine/>
    <w:qFormat/>
    <w:uiPriority w:val="0"/>
    <w:rPr>
      <w:rFonts w:ascii="等线 Light" w:hAnsi="等线 Light" w:eastAsia="等线 Light"/>
      <w:kern w:val="2"/>
      <w:sz w:val="21"/>
      <w:szCs w:val="21"/>
    </w:rPr>
  </w:style>
  <w:style w:type="character" w:customStyle="1" w:styleId="34">
    <w:name w:val="正文缩进 Char"/>
    <w:link w:val="11"/>
    <w:qFormat/>
    <w:uiPriority w:val="99"/>
    <w:rPr>
      <w:spacing w:val="8"/>
      <w:kern w:val="2"/>
      <w:sz w:val="24"/>
      <w:lang w:val="en-US" w:eastAsia="zh-CN"/>
    </w:rPr>
  </w:style>
  <w:style w:type="character" w:customStyle="1" w:styleId="35">
    <w:name w:val="批注文字 Char"/>
    <w:link w:val="12"/>
    <w:autoRedefine/>
    <w:qFormat/>
    <w:uiPriority w:val="0"/>
    <w:rPr>
      <w:szCs w:val="24"/>
    </w:rPr>
  </w:style>
  <w:style w:type="character" w:customStyle="1" w:styleId="36">
    <w:name w:val="纯文本 Char"/>
    <w:link w:val="13"/>
    <w:qFormat/>
    <w:uiPriority w:val="0"/>
    <w:rPr>
      <w:rFonts w:ascii="Calibri" w:hAnsi="Courier New"/>
      <w:kern w:val="2"/>
      <w:sz w:val="21"/>
    </w:rPr>
  </w:style>
  <w:style w:type="character" w:customStyle="1" w:styleId="37">
    <w:name w:val="批注框文本 Char"/>
    <w:link w:val="14"/>
    <w:autoRedefine/>
    <w:qFormat/>
    <w:uiPriority w:val="0"/>
    <w:rPr>
      <w:kern w:val="2"/>
      <w:sz w:val="18"/>
      <w:szCs w:val="18"/>
    </w:rPr>
  </w:style>
  <w:style w:type="character" w:customStyle="1" w:styleId="38">
    <w:name w:val="页脚 Char"/>
    <w:link w:val="15"/>
    <w:qFormat/>
    <w:uiPriority w:val="0"/>
    <w:rPr>
      <w:kern w:val="2"/>
      <w:sz w:val="18"/>
      <w:szCs w:val="18"/>
    </w:rPr>
  </w:style>
  <w:style w:type="character" w:customStyle="1" w:styleId="39">
    <w:name w:val="页眉 Char"/>
    <w:link w:val="16"/>
    <w:autoRedefine/>
    <w:qFormat/>
    <w:uiPriority w:val="0"/>
    <w:rPr>
      <w:kern w:val="2"/>
      <w:sz w:val="18"/>
      <w:szCs w:val="18"/>
    </w:rPr>
  </w:style>
  <w:style w:type="character" w:customStyle="1" w:styleId="40">
    <w:name w:val="正文（首行缩进2字符） Char"/>
    <w:link w:val="41"/>
    <w:qFormat/>
    <w:uiPriority w:val="0"/>
    <w:rPr>
      <w:kern w:val="2"/>
      <w:sz w:val="24"/>
      <w:szCs w:val="24"/>
    </w:rPr>
  </w:style>
  <w:style w:type="paragraph" w:customStyle="1" w:styleId="41">
    <w:name w:val="正文（首行缩进2字符）"/>
    <w:basedOn w:val="1"/>
    <w:link w:val="40"/>
    <w:autoRedefine/>
    <w:qFormat/>
    <w:uiPriority w:val="0"/>
    <w:pPr>
      <w:spacing w:line="360" w:lineRule="auto"/>
      <w:ind w:firstLine="480" w:firstLineChars="200"/>
    </w:pPr>
    <w:rPr>
      <w:sz w:val="24"/>
    </w:rPr>
  </w:style>
  <w:style w:type="character" w:customStyle="1" w:styleId="42">
    <w:name w:val="段落 Char1"/>
    <w:link w:val="43"/>
    <w:qFormat/>
    <w:uiPriority w:val="0"/>
    <w:rPr>
      <w:rFonts w:eastAsia="仿宋_GB2312"/>
      <w:sz w:val="24"/>
      <w:szCs w:val="24"/>
      <w:lang w:val="en-US" w:eastAsia="zh-CN" w:bidi="ar-SA"/>
    </w:rPr>
  </w:style>
  <w:style w:type="paragraph" w:customStyle="1" w:styleId="43">
    <w:name w:val="段落"/>
    <w:link w:val="42"/>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4">
    <w:name w:val="正文（安华金和） Char"/>
    <w:link w:val="45"/>
    <w:autoRedefine/>
    <w:qFormat/>
    <w:uiPriority w:val="0"/>
    <w:rPr>
      <w:rFonts w:ascii="Arial" w:hAnsi="Arial"/>
      <w:sz w:val="21"/>
      <w:szCs w:val="21"/>
      <w:lang w:val="en-US" w:eastAsia="zh-CN" w:bidi="ar-SA"/>
    </w:rPr>
  </w:style>
  <w:style w:type="paragraph" w:customStyle="1" w:styleId="45">
    <w:name w:val="正文（安华金和）"/>
    <w:link w:val="44"/>
    <w:autoRedefine/>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6">
    <w:name w:val="页脚 字符"/>
    <w:autoRedefine/>
    <w:qFormat/>
    <w:uiPriority w:val="99"/>
  </w:style>
  <w:style w:type="character" w:customStyle="1" w:styleId="47">
    <w:name w:val="列出段落 Char"/>
    <w:link w:val="48"/>
    <w:qFormat/>
    <w:uiPriority w:val="34"/>
    <w:rPr>
      <w:rFonts w:ascii="等线" w:hAnsi="等线" w:eastAsia="等线"/>
      <w:kern w:val="2"/>
      <w:sz w:val="21"/>
      <w:szCs w:val="22"/>
    </w:rPr>
  </w:style>
  <w:style w:type="paragraph" w:styleId="48">
    <w:name w:val="List Paragraph"/>
    <w:basedOn w:val="1"/>
    <w:link w:val="47"/>
    <w:qFormat/>
    <w:uiPriority w:val="34"/>
    <w:pPr>
      <w:ind w:firstLine="420" w:firstLineChars="200"/>
    </w:pPr>
    <w:rPr>
      <w:rFonts w:ascii="等线" w:hAnsi="等线" w:eastAsia="等线"/>
      <w:szCs w:val="22"/>
    </w:rPr>
  </w:style>
  <w:style w:type="paragraph" w:customStyle="1" w:styleId="49">
    <w:name w:val="插图标注（安华金和）"/>
    <w:next w:val="1"/>
    <w:autoRedefine/>
    <w:qFormat/>
    <w:uiPriority w:val="0"/>
    <w:pPr>
      <w:spacing w:after="156"/>
      <w:jc w:val="center"/>
    </w:pPr>
    <w:rPr>
      <w:rFonts w:ascii="Arial" w:hAnsi="Arial" w:eastAsia="宋体" w:cs="Arial"/>
      <w:sz w:val="21"/>
      <w:szCs w:val="21"/>
      <w:lang w:val="en-US" w:eastAsia="zh-CN" w:bidi="ar-SA"/>
    </w:rPr>
  </w:style>
  <w:style w:type="paragraph" w:customStyle="1" w:styleId="50">
    <w:name w:val="标题 2（DBSec）"/>
    <w:basedOn w:val="3"/>
    <w:next w:val="1"/>
    <w:qFormat/>
    <w:uiPriority w:val="0"/>
    <w:pPr>
      <w:spacing w:line="415" w:lineRule="auto"/>
      <w:ind w:left="794" w:leftChars="200" w:hanging="794"/>
      <w:jc w:val="left"/>
    </w:pPr>
    <w:rPr>
      <w:rFonts w:ascii="Arial" w:hAnsi="Arial" w:eastAsia="黑体"/>
      <w:bCs w:val="0"/>
    </w:rPr>
  </w:style>
  <w:style w:type="paragraph" w:customStyle="1" w:styleId="51">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2">
    <w:name w:val="_Style 27"/>
    <w:basedOn w:val="1"/>
    <w:next w:val="48"/>
    <w:qFormat/>
    <w:uiPriority w:val="34"/>
    <w:pPr>
      <w:widowControl/>
      <w:spacing w:line="240" w:lineRule="atLeast"/>
      <w:ind w:firstLine="420" w:firstLineChars="200"/>
    </w:pPr>
    <w:rPr>
      <w:rFonts w:ascii="Arial" w:hAnsi="Arial"/>
      <w:kern w:val="0"/>
      <w:szCs w:val="21"/>
    </w:rPr>
  </w:style>
  <w:style w:type="paragraph" w:customStyle="1" w:styleId="53">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4">
    <w:name w:val="标题 6（有编号）（安华金和）"/>
    <w:basedOn w:val="1"/>
    <w:next w:val="1"/>
    <w:qFormat/>
    <w:uiPriority w:val="0"/>
    <w:pPr>
      <w:keepNext/>
      <w:keepLines/>
      <w:spacing w:before="240" w:after="64" w:line="319" w:lineRule="auto"/>
      <w:ind w:hanging="1247"/>
      <w:jc w:val="left"/>
      <w:outlineLvl w:val="5"/>
    </w:pPr>
    <w:rPr>
      <w:rFonts w:ascii="Arial" w:hAnsi="Arial" w:eastAsia="黑体"/>
      <w:b/>
      <w:kern w:val="0"/>
    </w:rPr>
  </w:style>
  <w:style w:type="paragraph" w:customStyle="1" w:styleId="55">
    <w:name w:val="标题 4（DBSec）"/>
    <w:basedOn w:val="5"/>
    <w:next w:val="1"/>
    <w:qFormat/>
    <w:uiPriority w:val="0"/>
    <w:pPr>
      <w:widowControl/>
      <w:spacing w:after="156"/>
      <w:ind w:left="200" w:leftChars="200" w:hanging="420"/>
      <w:jc w:val="left"/>
    </w:pPr>
    <w:rPr>
      <w:rFonts w:ascii="Arial" w:hAnsi="Arial" w:eastAsia="黑体"/>
      <w:bCs w:val="0"/>
      <w:kern w:val="0"/>
    </w:rPr>
  </w:style>
  <w:style w:type="paragraph" w:customStyle="1" w:styleId="56">
    <w:name w:val="标题 3（DBSec）"/>
    <w:basedOn w:val="4"/>
    <w:next w:val="1"/>
    <w:autoRedefine/>
    <w:qFormat/>
    <w:uiPriority w:val="0"/>
    <w:pPr>
      <w:tabs>
        <w:tab w:val="left" w:pos="960"/>
      </w:tabs>
      <w:spacing w:line="415" w:lineRule="auto"/>
      <w:ind w:left="200" w:leftChars="200" w:hanging="907"/>
      <w:jc w:val="left"/>
    </w:pPr>
    <w:rPr>
      <w:rFonts w:ascii="Arial" w:hAnsi="Arial" w:eastAsia="黑体"/>
      <w:bCs w:val="0"/>
      <w:kern w:val="0"/>
    </w:rPr>
  </w:style>
  <w:style w:type="paragraph" w:customStyle="1" w:styleId="57">
    <w:name w:val="标题 1（DBSec）"/>
    <w:basedOn w:val="2"/>
    <w:next w:val="1"/>
    <w:qFormat/>
    <w:uiPriority w:val="0"/>
    <w:pPr>
      <w:pageBreakBefore/>
      <w:numPr>
        <w:numId w:val="0"/>
      </w:numPr>
      <w:pBdr>
        <w:bottom w:val="single" w:color="auto" w:sz="48" w:space="1"/>
      </w:pBdr>
      <w:spacing w:before="600" w:line="576" w:lineRule="auto"/>
      <w:ind w:left="200" w:leftChars="200" w:hanging="420"/>
      <w:jc w:val="left"/>
    </w:pPr>
    <w:rPr>
      <w:rFonts w:ascii="Arial" w:hAnsi="Arial" w:eastAsia="黑体"/>
    </w:rPr>
  </w:style>
  <w:style w:type="paragraph" w:customStyle="1" w:styleId="58">
    <w:name w:val="彩色列表 - 着色 11"/>
    <w:basedOn w:val="1"/>
    <w:qFormat/>
    <w:uiPriority w:val="34"/>
    <w:pPr>
      <w:spacing w:line="360" w:lineRule="auto"/>
      <w:ind w:firstLine="420" w:firstLineChars="200"/>
    </w:pPr>
    <w:rPr>
      <w:rFonts w:ascii="Arial" w:hAnsi="Arial"/>
      <w:szCs w:val="21"/>
    </w:rPr>
  </w:style>
  <w:style w:type="paragraph" w:customStyle="1" w:styleId="59">
    <w:name w:val="表格标注（安华金和）"/>
    <w:basedOn w:val="49"/>
    <w:next w:val="1"/>
    <w:autoRedefine/>
    <w:qFormat/>
    <w:uiPriority w:val="0"/>
  </w:style>
  <w:style w:type="paragraph" w:customStyle="1" w:styleId="60">
    <w:name w:val="标题 5（有编号）（安华金和）"/>
    <w:basedOn w:val="1"/>
    <w:next w:val="1"/>
    <w:autoRedefine/>
    <w:qFormat/>
    <w:uiPriority w:val="0"/>
    <w:pPr>
      <w:keepNext/>
      <w:keepLines/>
      <w:spacing w:before="280" w:after="156" w:line="377" w:lineRule="auto"/>
      <w:ind w:hanging="1134"/>
      <w:jc w:val="left"/>
      <w:outlineLvl w:val="4"/>
    </w:pPr>
    <w:rPr>
      <w:rFonts w:ascii="Arial" w:hAnsi="Arial" w:eastAsia="黑体"/>
      <w:b/>
      <w:kern w:val="0"/>
      <w:sz w:val="24"/>
      <w:szCs w:val="28"/>
    </w:rPr>
  </w:style>
  <w:style w:type="paragraph" w:customStyle="1" w:styleId="61">
    <w:name w:val="List Paragraph11"/>
    <w:basedOn w:val="1"/>
    <w:next w:val="1"/>
    <w:autoRedefine/>
    <w:qFormat/>
    <w:uiPriority w:val="34"/>
    <w:pPr>
      <w:spacing w:line="360" w:lineRule="auto"/>
      <w:ind w:firstLine="420" w:firstLineChars="200"/>
    </w:pPr>
    <w:rPr>
      <w:rFonts w:ascii="Verdana" w:hAnsi="Verdana"/>
      <w:color w:val="000000"/>
      <w:sz w:val="20"/>
      <w:szCs w:val="20"/>
    </w:rPr>
  </w:style>
  <w:style w:type="character" w:customStyle="1" w:styleId="62">
    <w:name w:val="批注文字 字符"/>
    <w:autoRedefine/>
    <w:qFormat/>
    <w:uiPriority w:val="99"/>
    <w:rPr>
      <w:kern w:val="2"/>
      <w:sz w:val="21"/>
      <w:szCs w:val="24"/>
    </w:rPr>
  </w:style>
  <w:style w:type="character" w:customStyle="1" w:styleId="63">
    <w:name w:val="副标题 Char"/>
    <w:link w:val="17"/>
    <w:autoRedefine/>
    <w:qFormat/>
    <w:uiPriority w:val="0"/>
    <w:rPr>
      <w:rFonts w:ascii="Cambria" w:hAnsi="Cambria"/>
      <w:b/>
      <w:bCs/>
      <w:kern w:val="28"/>
      <w:sz w:val="32"/>
      <w:szCs w:val="32"/>
      <w:lang w:eastAsia="en-US"/>
    </w:rPr>
  </w:style>
  <w:style w:type="paragraph" w:customStyle="1" w:styleId="64">
    <w:name w:val="列出段落1"/>
    <w:basedOn w:val="1"/>
    <w:autoRedefine/>
    <w:qFormat/>
    <w:uiPriority w:val="34"/>
    <w:pPr>
      <w:ind w:firstLine="420" w:firstLineChars="200"/>
    </w:pPr>
  </w:style>
  <w:style w:type="paragraph" w:customStyle="1" w:styleId="65">
    <w:name w:val="paragraph"/>
    <w:basedOn w:val="1"/>
    <w:semiHidden/>
    <w:qFormat/>
    <w:uiPriority w:val="0"/>
    <w:pPr>
      <w:widowControl/>
      <w:snapToGrid/>
      <w:spacing w:before="100" w:beforeAutospacing="1" w:after="100" w:afterAutospacing="1" w:line="240" w:lineRule="auto"/>
    </w:pPr>
    <w:rPr>
      <w:rFonts w:ascii="等线" w:hAnsi="等线" w:eastAsia="等线" w:cs="Times New Roman"/>
      <w:color w:val="auto"/>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14548</Words>
  <Characters>16358</Characters>
  <Lines>9</Lines>
  <Paragraphs>2</Paragraphs>
  <TotalTime>7</TotalTime>
  <ScaleCrop>false</ScaleCrop>
  <LinksUpToDate>false</LinksUpToDate>
  <CharactersWithSpaces>16388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2022-01-06T02:42:00Z</dcterms:created>
  <dc:creator>陈永辉</dc:creator>
  <cp:lastModifiedBy>雪莲</cp:lastModifiedBy>
  <dcterms:modified xsi:type="dcterms:W3CDTF">2024-07-05T06:50:48Z</dcterms:modified>
  <dc:title>1</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A70713A9FA9F49918CA90773FFCA48E3_13</vt:lpwstr>
  </property>
</Properties>
</file>