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/>
        <w:rPr>
          <w:rFonts w:ascii="Times New Roman"/>
          <w:color w:val="auto"/>
          <w:sz w:val="25"/>
          <w:lang w:val="en-US"/>
        </w:rPr>
      </w:pPr>
      <w:r>
        <w:rPr>
          <w:rFonts w:hint="eastAsia" w:ascii="Times New Roman"/>
          <w:color w:val="auto"/>
          <w:sz w:val="25"/>
          <w:lang w:val="en-US"/>
        </w:rPr>
        <w:t xml:space="preserve"> </w:t>
      </w:r>
    </w:p>
    <w:p>
      <w:pPr>
        <w:pStyle w:val="3"/>
        <w:spacing w:before="216"/>
        <w:ind w:left="2290" w:right="229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动物实验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信息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表</w:t>
      </w:r>
    </w:p>
    <w:p>
      <w:pPr>
        <w:pStyle w:val="3"/>
        <w:spacing w:before="4" w:after="1"/>
        <w:rPr>
          <w:color w:val="auto"/>
          <w:sz w:val="27"/>
        </w:rPr>
      </w:pPr>
    </w:p>
    <w:tbl>
      <w:tblPr>
        <w:tblStyle w:val="11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150"/>
        <w:gridCol w:w="414"/>
        <w:gridCol w:w="679"/>
        <w:gridCol w:w="57"/>
        <w:gridCol w:w="1117"/>
        <w:gridCol w:w="434"/>
        <w:gridCol w:w="1000"/>
        <w:gridCol w:w="1359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9200" w:type="dxa"/>
            <w:gridSpan w:val="10"/>
          </w:tcPr>
          <w:p>
            <w:pPr>
              <w:pStyle w:val="25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 w:bidi="zh-TW"/>
              </w:rPr>
              <w:t>项目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zh-TW" w:eastAsia="zh-TW" w:bidi="zh-TW"/>
              </w:rPr>
              <w:t>名称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zh-TW" w:bidi="zh-TW"/>
              </w:rPr>
              <w:t>：</w:t>
            </w:r>
          </w:p>
          <w:p>
            <w:pPr>
              <w:pStyle w:val="25"/>
              <w:spacing w:after="80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en-US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393" w:type="dxa"/>
            <w:gridSpan w:val="4"/>
            <w:tcBorders>
              <w:right w:val="single" w:color="auto" w:sz="4" w:space="0"/>
            </w:tcBorders>
          </w:tcPr>
          <w:p>
            <w:pPr>
              <w:pStyle w:val="2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val="zh-TW" w:eastAsia="zh-CN" w:bidi="zh-TW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 w:bidi="zh-TW"/>
              </w:rPr>
              <w:t>项目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bidi="zh-TW"/>
              </w:rPr>
              <w:t>负责人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 w:bidi="zh-TW"/>
              </w:rPr>
              <w:t>/PI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zh-TW" w:bidi="zh-TW"/>
              </w:rPr>
              <w:t>：</w:t>
            </w:r>
          </w:p>
          <w:p>
            <w:pPr>
              <w:pStyle w:val="24"/>
              <w:spacing w:before="1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en-US" w:bidi="en-US"/>
              </w:rPr>
            </w:pPr>
          </w:p>
        </w:tc>
        <w:tc>
          <w:tcPr>
            <w:tcW w:w="260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4"/>
              <w:spacing w:before="1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bidi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bidi="en-US"/>
              </w:rPr>
              <w:t>科室：</w:t>
            </w:r>
          </w:p>
        </w:tc>
        <w:tc>
          <w:tcPr>
            <w:tcW w:w="3199" w:type="dxa"/>
            <w:gridSpan w:val="2"/>
            <w:tcBorders>
              <w:left w:val="single" w:color="auto" w:sz="4" w:space="0"/>
            </w:tcBorders>
          </w:tcPr>
          <w:p>
            <w:pPr>
              <w:pStyle w:val="24"/>
              <w:spacing w:before="1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bidi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 w:bidi="zh-TW"/>
              </w:rPr>
              <w:t>联系电话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zh-TW" w:bidi="zh-TW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393" w:type="dxa"/>
            <w:gridSpan w:val="4"/>
            <w:tcBorders>
              <w:right w:val="single" w:color="auto" w:sz="4" w:space="0"/>
            </w:tcBorders>
          </w:tcPr>
          <w:p>
            <w:pPr>
              <w:pStyle w:val="25"/>
              <w:tabs>
                <w:tab w:val="center" w:pos="2278"/>
              </w:tabs>
              <w:spacing w:after="60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zh-TW" w:eastAsia="zh-TW" w:bidi="zh-TW"/>
              </w:rPr>
              <w:t>动物实验负责人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zh-TW" w:bidi="zh-TW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zh-TW" w:bidi="zh-TW"/>
              </w:rPr>
              <w:tab/>
            </w:r>
          </w:p>
          <w:p>
            <w:pPr>
              <w:pStyle w:val="24"/>
              <w:spacing w:before="1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en-US" w:bidi="en-US"/>
              </w:rPr>
            </w:pPr>
          </w:p>
        </w:tc>
        <w:tc>
          <w:tcPr>
            <w:tcW w:w="260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4"/>
              <w:spacing w:before="1"/>
              <w:ind w:left="40" w:leftChars="0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bidi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bidi="en-US"/>
              </w:rPr>
              <w:t>科室：</w:t>
            </w:r>
          </w:p>
        </w:tc>
        <w:tc>
          <w:tcPr>
            <w:tcW w:w="319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24"/>
              <w:spacing w:before="1"/>
              <w:ind w:left="40" w:leftChars="0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 w:bidi="zh-TW"/>
              </w:rPr>
              <w:t>联系电话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zh-TW" w:bidi="zh-TW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567" w:type="dxa"/>
            <w:gridSpan w:val="6"/>
            <w:tcBorders>
              <w:right w:val="single" w:color="auto" w:sz="4" w:space="0"/>
            </w:tcBorders>
          </w:tcPr>
          <w:p>
            <w:pPr>
              <w:pStyle w:val="25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zh-TW" w:bidi="zh-TW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 w:bidi="zh-TW"/>
              </w:rPr>
              <w:t>本项目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zh-TW" w:eastAsia="zh-TW" w:bidi="zh-TW"/>
              </w:rPr>
              <w:t>实施动物实验的人数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zh-TW" w:bidi="zh-TW"/>
              </w:rPr>
              <w:t>：</w:t>
            </w:r>
          </w:p>
          <w:p>
            <w:pPr>
              <w:pStyle w:val="24"/>
              <w:spacing w:before="1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bidi="en-US"/>
              </w:rPr>
            </w:pPr>
          </w:p>
        </w:tc>
        <w:tc>
          <w:tcPr>
            <w:tcW w:w="4633" w:type="dxa"/>
            <w:gridSpan w:val="4"/>
            <w:tcBorders>
              <w:left w:val="single" w:color="auto" w:sz="4" w:space="0"/>
            </w:tcBorders>
          </w:tcPr>
          <w:p>
            <w:pPr>
              <w:pStyle w:val="25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zh-TW" w:bidi="zh-TW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zh-TW" w:eastAsia="zh-TW" w:bidi="zh-TW"/>
              </w:rPr>
              <w:t xml:space="preserve">经专业培训的人数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zh-TW" w:bidi="zh-TW"/>
              </w:rPr>
              <w:t>：</w:t>
            </w:r>
          </w:p>
          <w:p>
            <w:pPr>
              <w:pStyle w:val="25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zh-TW" w:bidi="zh-TW"/>
              </w:rPr>
            </w:pPr>
          </w:p>
          <w:p>
            <w:pPr>
              <w:pStyle w:val="24"/>
              <w:spacing w:before="1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200" w:type="dxa"/>
            <w:gridSpan w:val="10"/>
          </w:tcPr>
          <w:p>
            <w:pPr>
              <w:pStyle w:val="24"/>
              <w:spacing w:before="72" w:line="289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动物实验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主要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操作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150" w:type="dxa"/>
          </w:tcPr>
          <w:p>
            <w:pPr>
              <w:pStyle w:val="24"/>
              <w:spacing w:before="1" w:line="289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300" w:type="dxa"/>
            <w:gridSpan w:val="4"/>
          </w:tcPr>
          <w:p>
            <w:pPr>
              <w:pStyle w:val="24"/>
              <w:spacing w:before="1" w:line="289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动物实验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培训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证书编号（如有）</w:t>
            </w:r>
          </w:p>
        </w:tc>
        <w:tc>
          <w:tcPr>
            <w:tcW w:w="5750" w:type="dxa"/>
            <w:gridSpan w:val="5"/>
            <w:tcBorders>
              <w:bottom w:val="single" w:color="auto" w:sz="4" w:space="0"/>
            </w:tcBorders>
          </w:tcPr>
          <w:p>
            <w:pPr>
              <w:pStyle w:val="24"/>
              <w:spacing w:before="1" w:line="289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掌握的动物实验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技能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总和</w:t>
            </w:r>
          </w:p>
          <w:p>
            <w:pPr>
              <w:pStyle w:val="24"/>
              <w:spacing w:before="1" w:line="289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（本项目涉及的）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vertAlign w:val="baseline"/>
                <w:lang w:val="en-US" w:eastAsia="zh-CN" w:bidi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7208520</wp:posOffset>
                      </wp:positionV>
                      <wp:extent cx="1028700" cy="0"/>
                      <wp:effectExtent l="0" t="38100" r="0" b="3810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327pt;margin-top:567.6pt;height:0pt;width:81pt;z-index:251660288;mso-width-relative:page;mso-height-relative:page;" filled="f" stroked="t" coordsize="21600,21600" o:gfxdata="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gNggW2QAAAA0BAAAPAAAAAAAAAAEAIAAAACIAAABkcnMvZG93bnJldi54bWxQSwECFAAU&#10;AAAACACHTuJA24ji6ikCAABBBAAADgAAAAAAAAABACAAAAAoAQAAZHJzL2Uyb0RvYy54bWxQSwUG&#10;AAAAAAYABgBZAQAAwwUAAAAA&#10;">
                      <v:fill on="f" focussize="0,0"/>
                      <v:stroke color="#98B954 [3206]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50" w:type="dxa"/>
          </w:tcPr>
          <w:p>
            <w:pPr>
              <w:pStyle w:val="24"/>
              <w:spacing w:before="1" w:line="289" w:lineRule="exac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gridSpan w:val="4"/>
          </w:tcPr>
          <w:p>
            <w:pPr>
              <w:pStyle w:val="2"/>
              <w:rPr>
                <w:rFonts w:hint="default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5750" w:type="dxa"/>
            <w:gridSpan w:val="5"/>
            <w:vMerge w:val="restart"/>
            <w:tcBorders>
              <w:top w:val="single" w:color="auto" w:sz="4" w:space="0"/>
            </w:tcBorders>
          </w:tcPr>
          <w:p>
            <w:pPr>
              <w:pStyle w:val="24"/>
              <w:spacing w:before="1" w:line="289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vertAlign w:val="baseline"/>
                <w:lang w:val="en-US" w:eastAsia="zh-CN" w:bidi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7208520</wp:posOffset>
                      </wp:positionV>
                      <wp:extent cx="1028700" cy="0"/>
                      <wp:effectExtent l="0" t="38100" r="0" b="3810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327pt;margin-top:567.6pt;height:0pt;width:81pt;z-index:251661312;mso-width-relative:page;mso-height-relative:page;" filled="f" stroked="t" coordsize="21600,21600" o:gfxdata="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DYIFtkAAAANAQAADwAAAAAAAAABACAAAAAiAAAAZHJzL2Rvd25yZXYueG1sUEsBAhQAFAAA&#10;AAgAh07iQCb+QRInAgAAQQQAAA4AAAAAAAAAAQAgAAAAKAEAAGRycy9lMm9Eb2MueG1sUEsFBgAA&#10;AAAGAAYAWQEAAMEFAAAAAA==&#10;">
                      <v:fill on="f" focussize="0,0"/>
                      <v:stroke color="#98B954 [3206]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饲养或繁育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日常观察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编号标记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被毛去除</w:t>
            </w:r>
          </w:p>
          <w:p>
            <w:pPr>
              <w:pStyle w:val="24"/>
              <w:spacing w:before="1" w:line="289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抓取及固定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分组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经口给药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皮肤给药</w:t>
            </w:r>
          </w:p>
          <w:p>
            <w:pPr>
              <w:pStyle w:val="24"/>
              <w:spacing w:before="1" w:line="289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吸入给药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眼部给药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直肠给药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阴道给药</w:t>
            </w:r>
          </w:p>
          <w:p>
            <w:pPr>
              <w:pStyle w:val="24"/>
              <w:spacing w:before="1" w:line="289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腹腔注射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皮内注射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皮下注射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静脉注射</w:t>
            </w:r>
          </w:p>
          <w:p>
            <w:pPr>
              <w:pStyle w:val="24"/>
              <w:spacing w:before="1" w:line="289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肌肉注射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肿瘤注射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建立模型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体重测定</w:t>
            </w:r>
          </w:p>
          <w:p>
            <w:pPr>
              <w:pStyle w:val="24"/>
              <w:spacing w:before="1" w:line="289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体温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测定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血压测定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心电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监护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测摄食量</w:t>
            </w:r>
          </w:p>
          <w:p>
            <w:pPr>
              <w:pStyle w:val="24"/>
              <w:spacing w:before="1" w:line="289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测摄水量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麻醉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镇静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血液采集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脏器采集</w:t>
            </w:r>
          </w:p>
          <w:p>
            <w:pPr>
              <w:pStyle w:val="24"/>
              <w:spacing w:before="1" w:line="289" w:lineRule="exac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尿液采集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粪便采集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骨髓采集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其他标本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采集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4"/>
              <w:spacing w:before="1" w:line="289" w:lineRule="exac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常规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手术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无菌手术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大动物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手术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医疗护理  </w:t>
            </w:r>
          </w:p>
          <w:p>
            <w:pPr>
              <w:pStyle w:val="24"/>
              <w:spacing w:before="1" w:line="289" w:lineRule="exac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安乐死    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其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它：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50" w:type="dxa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300" w:type="dxa"/>
            <w:gridSpan w:val="4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750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50" w:type="dxa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300" w:type="dxa"/>
            <w:gridSpan w:val="4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750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50" w:type="dxa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300" w:type="dxa"/>
            <w:gridSpan w:val="4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750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50" w:type="dxa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300" w:type="dxa"/>
            <w:gridSpan w:val="4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750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200" w:type="dxa"/>
            <w:gridSpan w:val="10"/>
          </w:tcPr>
          <w:p>
            <w:pPr>
              <w:pStyle w:val="24"/>
              <w:spacing w:before="1" w:line="289" w:lineRule="exact"/>
              <w:rPr>
                <w:rFonts w:hint="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未经专业培训的人员，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/>
              </w:rPr>
              <w:t>在实验开始前，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拟采取的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培训方式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  <w:t>不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涉及（无需填写）</w:t>
            </w:r>
          </w:p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未经专业培训的人员，将在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省医学实验动物中心接受专业的动物实验相关理论及操作培训，考核合格后参与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动物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实验操作。</w:t>
            </w:r>
          </w:p>
          <w:p>
            <w:pPr>
              <w:pStyle w:val="24"/>
              <w:spacing w:before="1" w:line="289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其它培训方式：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50" w:type="dxa"/>
            <w:vMerge w:val="restart"/>
            <w:vAlign w:val="center"/>
          </w:tcPr>
          <w:p>
            <w:pPr>
              <w:pStyle w:val="24"/>
              <w:spacing w:before="72" w:line="289" w:lineRule="exact"/>
              <w:ind w:left="75" w:right="6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  <w:t>拟使用动物信息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en-US" w:bidi="en-US"/>
              </w:rPr>
              <w:t xml:space="preserve"> 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  <w:t>品种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  <w:t>品系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pStyle w:val="4"/>
              <w:ind w:lef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  <w:t>龄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lang w:val="en-US"/>
              </w:rPr>
              <w:t>体重</w:t>
            </w:r>
          </w:p>
        </w:tc>
        <w:tc>
          <w:tcPr>
            <w:tcW w:w="1000" w:type="dxa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auto"/>
                <w:sz w:val="21"/>
                <w:szCs w:val="21"/>
              </w:rPr>
              <w:t>动物等级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0" w:type="dxa"/>
            <w:vMerge w:val="continue"/>
            <w:vAlign w:val="center"/>
          </w:tcPr>
          <w:p>
            <w:pPr>
              <w:pStyle w:val="24"/>
              <w:spacing w:before="72" w:line="289" w:lineRule="exact"/>
              <w:ind w:left="75" w:right="6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ind w:lef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  <w:t>♀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199" w:type="dxa"/>
            <w:gridSpan w:val="2"/>
            <w:vMerge w:val="restart"/>
            <w:vAlign w:val="center"/>
          </w:tcPr>
          <w:p>
            <w:pPr>
              <w:pStyle w:val="24"/>
              <w:spacing w:before="191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  <w:t>普通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lang w:val="en-US" w:eastAsia="zh-CN"/>
              </w:rPr>
              <w:t xml:space="preserve">级  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  <w:t>SPF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lang w:val="en-US"/>
              </w:rPr>
              <w:t xml:space="preserve">级  </w:t>
            </w:r>
            <w:r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  <w:t>无菌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lang w:val="en-US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50" w:type="dxa"/>
            <w:vMerge w:val="continue"/>
            <w:vAlign w:val="center"/>
          </w:tcPr>
          <w:p>
            <w:pPr>
              <w:pStyle w:val="24"/>
              <w:spacing w:before="72" w:line="289" w:lineRule="exact"/>
              <w:ind w:left="75" w:right="6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pStyle w:val="4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  <w:t>♂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3199" w:type="dxa"/>
            <w:gridSpan w:val="2"/>
            <w:vMerge w:val="continue"/>
            <w:vAlign w:val="center"/>
          </w:tcPr>
          <w:p>
            <w:pPr>
              <w:pStyle w:val="24"/>
              <w:spacing w:before="191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50" w:type="dxa"/>
            <w:vMerge w:val="continue"/>
            <w:vAlign w:val="center"/>
          </w:tcPr>
          <w:p>
            <w:pPr>
              <w:pStyle w:val="24"/>
              <w:spacing w:before="72" w:line="289" w:lineRule="exact"/>
              <w:ind w:left="75" w:right="6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pStyle w:val="4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3199" w:type="dxa"/>
            <w:gridSpan w:val="2"/>
            <w:vMerge w:val="continue"/>
            <w:vAlign w:val="center"/>
          </w:tcPr>
          <w:p>
            <w:pPr>
              <w:pStyle w:val="24"/>
              <w:spacing w:before="191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50" w:type="dxa"/>
            <w:vMerge w:val="continue"/>
            <w:vAlign w:val="center"/>
          </w:tcPr>
          <w:p>
            <w:pPr>
              <w:pStyle w:val="24"/>
              <w:spacing w:before="72" w:line="289" w:lineRule="exact"/>
              <w:ind w:left="75" w:right="6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pStyle w:val="4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  <w:t>♀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3199" w:type="dxa"/>
            <w:gridSpan w:val="2"/>
            <w:vMerge w:val="restart"/>
            <w:vAlign w:val="center"/>
          </w:tcPr>
          <w:p>
            <w:pPr>
              <w:pStyle w:val="24"/>
              <w:spacing w:before="191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  <w:t>普通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lang w:val="en-US" w:eastAsia="zh-CN"/>
              </w:rPr>
              <w:t xml:space="preserve">级  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  <w:t>SPF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lang w:val="en-US"/>
              </w:rPr>
              <w:t xml:space="preserve">级  </w:t>
            </w:r>
            <w:r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  <w:t>无菌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lang w:val="en-US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50" w:type="dxa"/>
            <w:vMerge w:val="continue"/>
            <w:vAlign w:val="center"/>
          </w:tcPr>
          <w:p>
            <w:pPr>
              <w:pStyle w:val="24"/>
              <w:spacing w:before="72" w:line="289" w:lineRule="exact"/>
              <w:ind w:left="75" w:right="65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zh-TW" w:bidi="zh-TW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pStyle w:val="4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1"/>
                <w:szCs w:val="21"/>
              </w:rPr>
              <w:t>♂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3199" w:type="dxa"/>
            <w:gridSpan w:val="2"/>
            <w:vMerge w:val="continue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Cs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0" w:type="dxa"/>
            <w:vMerge w:val="continue"/>
            <w:vAlign w:val="center"/>
          </w:tcPr>
          <w:p>
            <w:pPr>
              <w:pStyle w:val="24"/>
              <w:spacing w:before="72" w:line="289" w:lineRule="exact"/>
              <w:ind w:left="75" w:right="65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pStyle w:val="4"/>
              <w:ind w:left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pStyle w:val="24"/>
              <w:spacing w:before="191"/>
              <w:ind w:left="335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pStyle w:val="24"/>
              <w:spacing w:before="72" w:line="289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99" w:type="dxa"/>
            <w:gridSpan w:val="2"/>
            <w:vMerge w:val="continue"/>
            <w:vAlign w:val="center"/>
          </w:tcPr>
          <w:p>
            <w:pPr>
              <w:pStyle w:val="24"/>
              <w:spacing w:before="191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200" w:type="dxa"/>
            <w:gridSpan w:val="10"/>
          </w:tcPr>
          <w:p>
            <w:pPr>
              <w:pStyle w:val="25"/>
              <w:spacing w:line="249" w:lineRule="exact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eastAsia="zh-TW" w:bidi="zh-TW"/>
              </w:rPr>
              <w:t>动物来源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  <w:t>和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eastAsia="zh-TW" w:bidi="zh-TW"/>
              </w:rPr>
              <w:t>生产许可证号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</w:p>
          <w:p>
            <w:pPr>
              <w:pStyle w:val="25"/>
              <w:spacing w:line="249" w:lineRule="exact"/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省医学实验动物中心SPF级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动物：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大鼠、小鼠、豚鼠、兔 ，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bidi="zh-TW"/>
              </w:rPr>
              <w:t>许可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证号：SCXK(粤)2022-0002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省医学实验动物中心普通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级动物：豚鼠、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兔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，生产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bidi="zh-TW"/>
              </w:rPr>
              <w:t>许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 w:bidi="zh-CN"/>
              </w:rPr>
              <w:t>可证号：SCXK(粤)20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 w:bidi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 w:bidi="zh-CN"/>
              </w:rPr>
              <w:t>-0035</w:t>
            </w:r>
          </w:p>
          <w:p>
            <w:pPr>
              <w:pStyle w:val="25"/>
              <w:spacing w:line="249" w:lineRule="exact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外单位动物来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 w:bidi="zh-CN"/>
              </w:rPr>
              <w:t>源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zh-TW" w:eastAsia="zh-CN" w:bidi="zh-CN"/>
              </w:rPr>
              <w:t>和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zh-TW" w:eastAsia="zh-TW" w:bidi="zh-CN"/>
              </w:rPr>
              <w:t>生产许可证号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：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9200" w:type="dxa"/>
            <w:gridSpan w:val="10"/>
          </w:tcPr>
          <w:p>
            <w:pPr>
              <w:pStyle w:val="25"/>
              <w:spacing w:line="24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 w:bidi="zh-TW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TW" w:bidi="zh-TW"/>
              </w:rPr>
              <w:t>动物实验设施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 w:bidi="zh-TW"/>
              </w:rPr>
              <w:t>名称和使用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TW" w:bidi="zh-TW"/>
              </w:rPr>
              <w:t>许可证号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 w:bidi="zh-TW"/>
              </w:rPr>
              <w:t>:</w:t>
            </w:r>
          </w:p>
          <w:p>
            <w:pPr>
              <w:pStyle w:val="25"/>
              <w:spacing w:line="249" w:lineRule="exact"/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省医学实验动物中心动物实验设施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（屏障环境和普通环境）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，使用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bidi="zh-TW"/>
              </w:rPr>
              <w:t>许可证号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 w:bidi="zh-T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SYXK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(粤)2022-0002</w:t>
            </w:r>
          </w:p>
          <w:p>
            <w:pPr>
              <w:pStyle w:val="25"/>
              <w:spacing w:line="249" w:lineRule="exact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外单位动物实验设施名称和使用许可证号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             </w:t>
            </w:r>
          </w:p>
          <w:p>
            <w:pPr>
              <w:pStyle w:val="25"/>
              <w:spacing w:line="24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 w:bidi="zh-TW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外单位动物实验设施级别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屏障环境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普通环境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200" w:type="dxa"/>
            <w:gridSpan w:val="10"/>
          </w:tcPr>
          <w:p>
            <w:pPr>
              <w:pStyle w:val="25"/>
              <w:spacing w:line="249" w:lineRule="exact"/>
              <w:rPr>
                <w:rFonts w:ascii="Times New Roman" w:hAnsi="Times New Roman" w:cs="Times New Roman"/>
                <w:color w:val="auto"/>
                <w:sz w:val="21"/>
                <w:szCs w:val="21"/>
                <w:lang w:val="en-US" w:bidi="zh-TW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eastAsia="zh-TW" w:bidi="zh-TW"/>
              </w:rPr>
              <w:t>特殊实验设施许可证号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  <w:t>：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  <w:t>□</w:t>
            </w:r>
            <w:r>
              <w:rPr>
                <w:color w:val="auto"/>
                <w:sz w:val="21"/>
                <w:szCs w:val="21"/>
                <w:lang w:val="en-US"/>
              </w:rPr>
              <w:t>不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涉及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（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无需填写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）   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涉及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（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填写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）：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200" w:type="dxa"/>
            <w:gridSpan w:val="10"/>
          </w:tcPr>
          <w:p>
            <w:pPr>
              <w:pStyle w:val="25"/>
              <w:spacing w:line="275" w:lineRule="exact"/>
              <w:rPr>
                <w:rFonts w:ascii="Times New Roman" w:hAnsi="Times New Roman" w:cs="Times New Roman"/>
                <w:color w:val="auto"/>
                <w:sz w:val="21"/>
                <w:szCs w:val="21"/>
                <w:lang w:val="en-US" w:bidi="zh-TW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eastAsia="zh-TW" w:bidi="zh-TW"/>
              </w:rPr>
              <w:t>动物实验设施条件是否与拟开展动物实验的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  <w:t>规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eastAsia="zh-TW" w:bidi="zh-TW"/>
              </w:rPr>
              <w:t>范性要求相匹配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  <w:t>？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bidi="zh-TW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color w:val="auto"/>
                <w:sz w:val="21"/>
                <w:szCs w:val="21"/>
              </w:rPr>
              <w:t xml:space="preserve">是 </w:t>
            </w: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color w:val="auto"/>
                <w:sz w:val="21"/>
                <w:szCs w:val="21"/>
              </w:rPr>
              <w:t>否</w:t>
            </w: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 xml:space="preserve"> </w:t>
            </w:r>
          </w:p>
          <w:p>
            <w:pPr>
              <w:pStyle w:val="25"/>
              <w:spacing w:line="24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200" w:type="dxa"/>
            <w:gridSpan w:val="10"/>
          </w:tcPr>
          <w:p>
            <w:pPr>
              <w:pStyle w:val="25"/>
              <w:tabs>
                <w:tab w:val="left" w:pos="1898"/>
                <w:tab w:val="left" w:pos="2684"/>
                <w:tab w:val="left" w:pos="3692"/>
                <w:tab w:val="left" w:pos="4281"/>
                <w:tab w:val="left" w:pos="5066"/>
                <w:tab w:val="left" w:pos="5983"/>
                <w:tab w:val="left" w:pos="7121"/>
              </w:tabs>
              <w:spacing w:after="8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eastAsia="zh-TW" w:bidi="zh-TW"/>
              </w:rPr>
              <w:t>拟实验时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  <w:t>间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 w:bidi="zh-TW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bidi="zh-TW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zh-TW" w:eastAsia="zh-TW" w:bidi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zh-TW" w:eastAsia="zh-TW" w:bidi="zh-TW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en-US" w:bidi="zh-TW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bidi="zh-TW"/>
              </w:rPr>
              <w:t xml:space="preserve">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zh-TW" w:eastAsia="zh-TW" w:bidi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zh-TW" w:eastAsia="zh-TW" w:bidi="zh-TW"/>
              </w:rPr>
              <w:tab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zh-TW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bidi="zh-TW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zh-TW" w:eastAsia="zh-TW" w:bidi="zh-TW"/>
              </w:rPr>
              <w:t>至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zh-TW" w:eastAsia="zh-TW" w:bidi="zh-TW"/>
              </w:rPr>
              <w:tab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zh-TW" w:eastAsia="zh-TW" w:bidi="zh-TW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bidi="zh-TW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zh-TW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zh-TW" w:eastAsia="zh-TW" w:bidi="zh-TW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bidi="zh-TW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200" w:type="dxa"/>
            <w:gridSpan w:val="10"/>
          </w:tcPr>
          <w:p>
            <w:pPr>
              <w:pStyle w:val="25"/>
              <w:spacing w:after="8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eastAsia="zh-TW" w:bidi="zh-TW"/>
              </w:rPr>
              <w:t>是否使用有毒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eastAsia="zh-TW" w:bidi="zh-TW"/>
              </w:rPr>
              <w:t>害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  <w:t>）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eastAsia="zh-TW" w:bidi="zh-TW"/>
              </w:rPr>
              <w:t>物质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eastAsia="zh-TW" w:bidi="zh-TW"/>
              </w:rPr>
              <w:t>感染、放射、化学毒、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zh-TW" w:eastAsia="zh-CN" w:bidi="zh-TW"/>
              </w:rPr>
              <w:t>其它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  <w:t>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bidi="en-US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zh-TW" w:eastAsia="zh-TW" w:bidi="zh-TW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bidi="zh-TW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bidi="en-US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zh-TW" w:eastAsia="zh-TW" w:bidi="zh-TW"/>
              </w:rPr>
              <w:t>是</w:t>
            </w:r>
          </w:p>
          <w:p>
            <w:pPr>
              <w:pStyle w:val="25"/>
              <w:spacing w:after="8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zh-TW" w:eastAsia="zh-TW" w:bidi="zh-TW"/>
              </w:rPr>
              <w:t>说明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bidi="en-US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00" w:type="dxa"/>
            <w:gridSpan w:val="10"/>
          </w:tcPr>
          <w:p>
            <w:pPr>
              <w:pStyle w:val="24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研究摘要（简要描述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eastAsia="zh-TW" w:bidi="zh-TW"/>
              </w:rPr>
              <w:t>动物实验项目的目的、必要性、意义和如何设计以达成研究目标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  <w:t>）</w:t>
            </w:r>
          </w:p>
          <w:p>
            <w:pPr>
              <w:pStyle w:val="24"/>
              <w:numPr>
                <w:ilvl w:val="0"/>
                <w:numId w:val="0"/>
              </w:numPr>
              <w:spacing w:before="1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bidi="zh-TW"/>
              </w:rPr>
            </w:pPr>
          </w:p>
          <w:p>
            <w:pPr>
              <w:pStyle w:val="24"/>
              <w:numPr>
                <w:ilvl w:val="0"/>
                <w:numId w:val="2"/>
              </w:num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single"/>
                <w:lang w:val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实验目的或预期目标：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bidi="ar-SA"/>
              </w:rPr>
              <w:t xml:space="preserve">                                                                                                    </w:t>
            </w:r>
          </w:p>
          <w:p>
            <w:pPr>
              <w:pStyle w:val="24"/>
              <w:spacing w:line="280" w:lineRule="exact"/>
              <w:ind w:left="40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pStyle w:val="24"/>
              <w:numPr>
                <w:ilvl w:val="0"/>
                <w:numId w:val="2"/>
              </w:numPr>
              <w:spacing w:line="280" w:lineRule="exact"/>
              <w:ind w:left="40" w:leftChars="0"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研究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必要性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和意义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bidi="ar-SA"/>
              </w:rPr>
              <w:t xml:space="preserve">                                                                                                                    </w:t>
            </w:r>
          </w:p>
          <w:p>
            <w:pPr>
              <w:pStyle w:val="24"/>
              <w:spacing w:line="280" w:lineRule="exact"/>
              <w:ind w:left="40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pStyle w:val="24"/>
              <w:spacing w:line="280" w:lineRule="exac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如何设计以达成研究目标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24"/>
              <w:spacing w:line="280" w:lineRule="exact"/>
              <w:ind w:left="0" w:leftChars="0" w:firstLine="0" w:firstLineChars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pStyle w:val="24"/>
              <w:spacing w:line="280" w:lineRule="exac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pStyle w:val="24"/>
              <w:spacing w:line="280" w:lineRule="exac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9200" w:type="dxa"/>
            <w:gridSpan w:val="10"/>
          </w:tcPr>
          <w:p>
            <w:pPr>
              <w:pStyle w:val="24"/>
              <w:numPr>
                <w:ilvl w:val="0"/>
                <w:numId w:val="1"/>
              </w:numPr>
              <w:spacing w:before="1"/>
              <w:rPr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本实验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设计时是否遵循“3R” ( 减少、替代、优化 ) 原则？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color w:val="auto"/>
                <w:sz w:val="21"/>
                <w:szCs w:val="21"/>
              </w:rPr>
              <w:t>是</w:t>
            </w: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color w:val="auto"/>
                <w:sz w:val="21"/>
                <w:szCs w:val="21"/>
              </w:rPr>
              <w:t>否</w:t>
            </w:r>
          </w:p>
          <w:p>
            <w:pPr>
              <w:pStyle w:val="24"/>
              <w:spacing w:before="72" w:line="297" w:lineRule="auto"/>
              <w:ind w:right="29" w:firstLine="422" w:firstLineChars="200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减少 （Reduction）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：是指如果某一研究方案中必须使用实验动物，同时又没有可行的替代方法，则应把使用动物的数量降低到实现科研目的所需的最小量。</w:t>
            </w:r>
          </w:p>
          <w:p>
            <w:pPr>
              <w:pStyle w:val="24"/>
              <w:spacing w:line="305" w:lineRule="exact"/>
              <w:ind w:firstLine="422" w:firstLineChars="200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替代（Replacement）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： 是指使用低等级动物代替高等级动物，或不使用活着的脊椎动物进行实验，而采用其它方法达到与动物实验相同的目的。</w:t>
            </w:r>
          </w:p>
          <w:p>
            <w:pPr>
              <w:pStyle w:val="24"/>
              <w:spacing w:before="1" w:line="297" w:lineRule="auto"/>
              <w:ind w:right="30" w:firstLine="422" w:firstLineChars="200"/>
              <w:rPr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优化（Refinement）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：是指通过改善动物设施、饲养管理和实验条件，精选实验动物、技术路线和实验手段，优化实验操作技术，尽量减少实验过程对动物机体的损伤，减轻动物遭受的痛苦和应激反应，使动物实验得出科学的结果。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9200" w:type="dxa"/>
            <w:gridSpan w:val="10"/>
          </w:tcPr>
          <w:p>
            <w:pPr>
              <w:pStyle w:val="24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本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实验使用活体动物的必要性</w:t>
            </w:r>
          </w:p>
          <w:p>
            <w:pPr>
              <w:pStyle w:val="24"/>
              <w:spacing w:before="1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9200" w:type="dxa"/>
            <w:gridSpan w:val="10"/>
          </w:tcPr>
          <w:p>
            <w:pPr>
              <w:pStyle w:val="24"/>
              <w:numPr>
                <w:ilvl w:val="0"/>
                <w:numId w:val="3"/>
              </w:numPr>
              <w:spacing w:before="1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本实验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使用动物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种类和动物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数量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的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合理性</w:t>
            </w:r>
          </w:p>
          <w:p>
            <w:pPr>
              <w:pStyle w:val="24"/>
              <w:spacing w:before="1"/>
              <w:ind w:left="0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9200" w:type="dxa"/>
            <w:gridSpan w:val="10"/>
          </w:tcPr>
          <w:p>
            <w:pPr>
              <w:pStyle w:val="24"/>
              <w:numPr>
                <w:ilvl w:val="0"/>
                <w:numId w:val="3"/>
              </w:numPr>
              <w:spacing w:before="1" w:line="289" w:lineRule="exact"/>
              <w:ind w:left="0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en-US"/>
              </w:rPr>
              <w:t>动物实验方案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/>
              </w:rPr>
              <w:t>：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涉及动物的实验方法及操作顺序，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en-US"/>
              </w:rPr>
              <w:t>包括动物分组及数量、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药物剂量、给药途径、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en-US"/>
              </w:rPr>
              <w:t>动物模型建立方法、具体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手术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en-US"/>
              </w:rPr>
              <w:t>操作过程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/>
              </w:rPr>
              <w:t>、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采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样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en-US"/>
              </w:rPr>
              <w:t>方式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zh-TW" w:eastAsia="zh-TW" w:bidi="zh-TW"/>
              </w:rPr>
              <w:t>主要观察指标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等</w:t>
            </w:r>
          </w:p>
          <w:p>
            <w:pPr>
              <w:pStyle w:val="24"/>
              <w:spacing w:before="1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  <w:p>
            <w:pPr>
              <w:pStyle w:val="24"/>
              <w:numPr>
                <w:ilvl w:val="0"/>
                <w:numId w:val="4"/>
              </w:numPr>
              <w:spacing w:before="1" w:line="289" w:lineRule="exact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动物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分组及数量：</w:t>
            </w:r>
          </w:p>
          <w:tbl>
            <w:tblPr>
              <w:tblStyle w:val="1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0"/>
              <w:gridCol w:w="4130"/>
              <w:gridCol w:w="32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58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</w:rPr>
                    <w:t>组别</w:t>
                  </w:r>
                </w:p>
              </w:tc>
              <w:tc>
                <w:tcPr>
                  <w:tcW w:w="4130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</w:rPr>
                    <w:t>组名</w:t>
                  </w:r>
                </w:p>
              </w:tc>
              <w:tc>
                <w:tcPr>
                  <w:tcW w:w="32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</w:rPr>
                    <w:t>动物数量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158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</w:rPr>
                  </w:pPr>
                  <w:bookmarkStart w:id="0" w:name="bmGroepen_Gnr1"/>
                  <w:r>
                    <w:rPr>
                      <w:rFonts w:hint="default" w:ascii="Times New Roman" w:hAnsi="Times New Roman" w:cs="Times New Roman"/>
                      <w:color w:val="auto"/>
                      <w:szCs w:val="22"/>
                    </w:rPr>
                    <w:t>1</w:t>
                  </w:r>
                  <w:bookmarkEnd w:id="0"/>
                </w:p>
              </w:tc>
              <w:tc>
                <w:tcPr>
                  <w:tcW w:w="413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2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58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</w:rPr>
                  </w:pPr>
                  <w:bookmarkStart w:id="1" w:name="bmGroepen_Gnr2"/>
                  <w:r>
                    <w:rPr>
                      <w:rFonts w:hint="default" w:ascii="Times New Roman" w:hAnsi="Times New Roman" w:cs="Times New Roman"/>
                      <w:color w:val="auto"/>
                      <w:szCs w:val="22"/>
                    </w:rPr>
                    <w:t>2</w:t>
                  </w:r>
                  <w:bookmarkEnd w:id="1"/>
                </w:p>
              </w:tc>
              <w:tc>
                <w:tcPr>
                  <w:tcW w:w="413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2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158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</w:rPr>
                  </w:pPr>
                  <w:bookmarkStart w:id="2" w:name="bmGroepen_Gnr3"/>
                  <w:r>
                    <w:rPr>
                      <w:rFonts w:hint="default" w:ascii="Times New Roman" w:hAnsi="Times New Roman" w:cs="Times New Roman"/>
                      <w:color w:val="auto"/>
                      <w:szCs w:val="22"/>
                    </w:rPr>
                    <w:t>3</w:t>
                  </w:r>
                  <w:bookmarkEnd w:id="2"/>
                </w:p>
              </w:tc>
              <w:tc>
                <w:tcPr>
                  <w:tcW w:w="413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2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W w:w="158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  <w:szCs w:val="22"/>
                    </w:rPr>
                  </w:pPr>
                  <w:bookmarkStart w:id="3" w:name="bmGroepen_Gnr4"/>
                  <w:r>
                    <w:rPr>
                      <w:rFonts w:hint="default" w:ascii="Times New Roman" w:hAnsi="Times New Roman" w:cs="Times New Roman"/>
                      <w:color w:val="auto"/>
                      <w:szCs w:val="22"/>
                    </w:rPr>
                    <w:t>4</w:t>
                  </w:r>
                  <w:bookmarkEnd w:id="3"/>
                </w:p>
              </w:tc>
              <w:tc>
                <w:tcPr>
                  <w:tcW w:w="413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  <w:szCs w:val="22"/>
                    </w:rPr>
                  </w:pPr>
                </w:p>
              </w:tc>
              <w:tc>
                <w:tcPr>
                  <w:tcW w:w="32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5" w:hRule="atLeast"/>
              </w:trPr>
              <w:tc>
                <w:tcPr>
                  <w:tcW w:w="158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  <w:szCs w:val="22"/>
                    </w:rPr>
                  </w:pPr>
                  <w:bookmarkStart w:id="4" w:name="bmGroepen_Gnr5"/>
                  <w:r>
                    <w:rPr>
                      <w:rFonts w:hint="default" w:ascii="Times New Roman" w:hAnsi="Times New Roman" w:cs="Times New Roman"/>
                      <w:color w:val="auto"/>
                      <w:szCs w:val="22"/>
                    </w:rPr>
                    <w:t>5</w:t>
                  </w:r>
                  <w:bookmarkEnd w:id="4"/>
                </w:p>
              </w:tc>
              <w:tc>
                <w:tcPr>
                  <w:tcW w:w="413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  <w:szCs w:val="22"/>
                    </w:rPr>
                  </w:pPr>
                </w:p>
              </w:tc>
              <w:tc>
                <w:tcPr>
                  <w:tcW w:w="32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571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Cs w:val="22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3293" w:type="dxa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  <w:szCs w:val="22"/>
                    </w:rPr>
                  </w:pPr>
                </w:p>
              </w:tc>
            </w:tr>
          </w:tbl>
          <w:p>
            <w:pPr>
              <w:pStyle w:val="24"/>
              <w:spacing w:before="1" w:line="289" w:lineRule="exact"/>
              <w:ind w:left="0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  <w:p>
            <w:pPr>
              <w:pStyle w:val="24"/>
              <w:numPr>
                <w:ilvl w:val="0"/>
                <w:numId w:val="4"/>
              </w:numPr>
              <w:spacing w:before="1" w:line="289" w:lineRule="exact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受试物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剂量及给药途径：</w:t>
            </w:r>
          </w:p>
          <w:p>
            <w:pPr>
              <w:pStyle w:val="24"/>
              <w:numPr>
                <w:ilvl w:val="0"/>
                <w:numId w:val="4"/>
              </w:numPr>
              <w:spacing w:before="1" w:line="289" w:lineRule="exact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/>
              </w:rPr>
              <w:t>动物模型建立方法：</w:t>
            </w:r>
          </w:p>
          <w:p>
            <w:pPr>
              <w:pStyle w:val="24"/>
              <w:numPr>
                <w:ilvl w:val="0"/>
                <w:numId w:val="4"/>
              </w:numPr>
              <w:spacing w:before="1" w:line="289" w:lineRule="exact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/>
              </w:rPr>
              <w:t>具体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手术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/>
              </w:rPr>
              <w:t>操作过程（如有）：</w:t>
            </w:r>
          </w:p>
          <w:p>
            <w:pPr>
              <w:pStyle w:val="24"/>
              <w:numPr>
                <w:ilvl w:val="0"/>
                <w:numId w:val="4"/>
              </w:numPr>
              <w:spacing w:before="1" w:line="289" w:lineRule="exact"/>
              <w:ind w:left="0" w:leftChars="0" w:firstLine="0" w:firstLineChars="0"/>
              <w:rPr>
                <w:rFonts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采样途径及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zh-TW" w:eastAsia="zh-TW" w:bidi="zh-TW"/>
              </w:rPr>
              <w:t>主要观察指标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zh-TW" w:bidi="zh-TW"/>
              </w:rPr>
              <w:t>：</w:t>
            </w:r>
          </w:p>
          <w:p>
            <w:pPr>
              <w:pStyle w:val="24"/>
              <w:spacing w:before="1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200" w:type="dxa"/>
            <w:gridSpan w:val="10"/>
          </w:tcPr>
          <w:p>
            <w:pPr>
              <w:pStyle w:val="24"/>
              <w:spacing w:before="1" w:line="289" w:lineRule="exact"/>
              <w:rPr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动物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常规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饲养过程中是否有足够的饲料、饮水和活动空间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？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color w:val="auto"/>
                <w:sz w:val="21"/>
                <w:szCs w:val="21"/>
              </w:rPr>
              <w:t>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200" w:type="dxa"/>
            <w:gridSpan w:val="10"/>
          </w:tcPr>
          <w:p>
            <w:pPr>
              <w:pStyle w:val="24"/>
              <w:spacing w:before="1" w:line="289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是否需对动物进行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食物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限制（或术前禁食）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？</w:t>
            </w: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color w:val="auto"/>
                <w:sz w:val="21"/>
                <w:szCs w:val="21"/>
              </w:rPr>
              <w:t>是 □否</w:t>
            </w:r>
          </w:p>
          <w:p>
            <w:pPr>
              <w:pStyle w:val="24"/>
              <w:spacing w:before="1" w:line="289" w:lineRule="exact"/>
              <w:ind w:firstLine="211" w:firstLineChars="100"/>
              <w:rPr>
                <w:color w:val="auto"/>
                <w:sz w:val="21"/>
                <w:szCs w:val="21"/>
                <w:lang w:val="en-US"/>
              </w:rPr>
            </w:pPr>
            <w:bookmarkStart w:id="5" w:name="OLE_LINK2"/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>如是，请说明限制时长和原因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 xml:space="preserve">                                    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 xml:space="preserve">           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 xml:space="preserve">                          </w:t>
            </w:r>
            <w:bookmarkEnd w:id="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200" w:type="dxa"/>
            <w:gridSpan w:val="10"/>
          </w:tcPr>
          <w:p>
            <w:pPr>
              <w:pStyle w:val="24"/>
              <w:spacing w:before="1" w:line="289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是否需对动物进行饮水限制（或术前禁水）</w:t>
            </w:r>
            <w:r>
              <w:rPr>
                <w:rFonts w:hint="eastAsia"/>
                <w:color w:val="auto"/>
                <w:sz w:val="21"/>
                <w:szCs w:val="21"/>
              </w:rPr>
              <w:t>？□</w:t>
            </w:r>
            <w:r>
              <w:rPr>
                <w:color w:val="auto"/>
                <w:sz w:val="21"/>
                <w:szCs w:val="21"/>
              </w:rPr>
              <w:t>是 □否</w:t>
            </w:r>
          </w:p>
          <w:p>
            <w:pPr>
              <w:pStyle w:val="24"/>
              <w:spacing w:before="1" w:line="289" w:lineRule="exact"/>
              <w:ind w:firstLine="211" w:firstLineChars="100"/>
              <w:rPr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>如是，请说明限制时长和原因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9200" w:type="dxa"/>
            <w:gridSpan w:val="10"/>
            <w:vAlign w:val="center"/>
          </w:tcPr>
          <w:p>
            <w:pPr>
              <w:pStyle w:val="24"/>
              <w:spacing w:before="1" w:line="289" w:lineRule="exact"/>
              <w:ind w:left="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采血     </w:t>
            </w: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color w:val="auto"/>
                <w:sz w:val="21"/>
                <w:szCs w:val="21"/>
                <w:lang w:val="en-US"/>
              </w:rPr>
              <w:t>不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涉及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 （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无需填写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）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涉及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 （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填写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50" w:type="dxa"/>
            <w:shd w:val="pct10" w:color="auto" w:fill="auto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1"/>
                <w:szCs w:val="21"/>
              </w:rPr>
              <w:t>品种/品系</w:t>
            </w:r>
          </w:p>
        </w:tc>
        <w:tc>
          <w:tcPr>
            <w:tcW w:w="2300" w:type="dxa"/>
            <w:gridSpan w:val="4"/>
            <w:shd w:val="pct10" w:color="auto" w:fill="auto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1"/>
                <w:szCs w:val="21"/>
              </w:rPr>
              <w:t>采血量</w:t>
            </w:r>
          </w:p>
        </w:tc>
        <w:tc>
          <w:tcPr>
            <w:tcW w:w="1551" w:type="dxa"/>
            <w:gridSpan w:val="2"/>
            <w:shd w:val="pct10" w:color="auto" w:fill="auto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1"/>
                <w:szCs w:val="21"/>
              </w:rPr>
              <w:t>采血频率</w:t>
            </w:r>
          </w:p>
        </w:tc>
        <w:tc>
          <w:tcPr>
            <w:tcW w:w="2359" w:type="dxa"/>
            <w:gridSpan w:val="2"/>
            <w:shd w:val="pct10" w:color="auto" w:fill="auto"/>
          </w:tcPr>
          <w:p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1"/>
                <w:szCs w:val="21"/>
              </w:rPr>
              <w:t>采血方法</w:t>
            </w:r>
          </w:p>
        </w:tc>
        <w:tc>
          <w:tcPr>
            <w:tcW w:w="1840" w:type="dxa"/>
            <w:shd w:val="pct10" w:color="auto" w:fill="auto"/>
          </w:tcPr>
          <w:p>
            <w:pPr>
              <w:pStyle w:val="4"/>
              <w:ind w:lef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1"/>
                <w:szCs w:val="21"/>
              </w:rPr>
              <w:t>麻醉或镇静</w:t>
            </w:r>
            <w:r>
              <w:rPr>
                <w:rFonts w:hint="eastAsia" w:ascii="Times New Roman" w:hAnsi="Times New Roman" w:cs="Times New Roman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150" w:type="dxa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00" w:type="dxa"/>
            <w:gridSpan w:val="4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1" w:type="dxa"/>
            <w:gridSpan w:val="2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59" w:type="dxa"/>
            <w:gridSpan w:val="2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150" w:type="dxa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00" w:type="dxa"/>
            <w:gridSpan w:val="4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1" w:type="dxa"/>
            <w:gridSpan w:val="2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59" w:type="dxa"/>
            <w:gridSpan w:val="2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150" w:type="dxa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00" w:type="dxa"/>
            <w:gridSpan w:val="4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1" w:type="dxa"/>
            <w:gridSpan w:val="2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59" w:type="dxa"/>
            <w:gridSpan w:val="2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50" w:type="dxa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00" w:type="dxa"/>
            <w:gridSpan w:val="4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1" w:type="dxa"/>
            <w:gridSpan w:val="2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59" w:type="dxa"/>
            <w:gridSpan w:val="2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200" w:type="dxa"/>
            <w:gridSpan w:val="10"/>
          </w:tcPr>
          <w:p>
            <w:pPr>
              <w:pStyle w:val="4"/>
              <w:tabs>
                <w:tab w:val="left" w:pos="9072"/>
              </w:tabs>
              <w:spacing w:before="120" w:beforeLines="50"/>
              <w:ind w:left="0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lang w:val="en-US"/>
              </w:rPr>
              <w:t>注：</w:t>
            </w:r>
            <w:r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  <w:t>每周采血量不可超过7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lang w:val="en-US"/>
              </w:rPr>
              <w:t>L</w:t>
            </w:r>
            <w:r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  <w:t>/kg体重（约为10％总血量）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200" w:type="dxa"/>
            <w:gridSpan w:val="10"/>
          </w:tcPr>
          <w:p>
            <w:pPr>
              <w:ind w:left="40"/>
              <w:jc w:val="left"/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手术程序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不涉及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（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无需填写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）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涉及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（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填写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00" w:type="dxa"/>
            <w:gridSpan w:val="10"/>
          </w:tcPr>
          <w:p>
            <w:pPr>
              <w:ind w:left="120" w:firstLine="420"/>
              <w:jc w:val="left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 w:eastAsia="zh-CN"/>
              </w:rPr>
              <w:t>J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u w:val="single"/>
              </w:rPr>
              <w:t>术前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 w:eastAsia="zh-CN"/>
              </w:rPr>
              <w:t>准备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  <w:p>
            <w:pPr>
              <w:ind w:firstLine="422" w:firstLineChars="200"/>
              <w:jc w:val="left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备皮</w:t>
            </w:r>
          </w:p>
          <w:p>
            <w:pPr>
              <w:ind w:firstLine="422" w:firstLineChars="20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手术部位消毒</w:t>
            </w:r>
          </w:p>
          <w:p>
            <w:pPr>
              <w:ind w:firstLine="422" w:firstLineChars="200"/>
              <w:jc w:val="left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建立静脉通道</w:t>
            </w:r>
          </w:p>
          <w:p>
            <w:pPr>
              <w:ind w:firstLine="422" w:firstLineChars="200"/>
              <w:jc w:val="left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留置导管，留置时间：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firstLine="422" w:firstLineChars="200"/>
              <w:jc w:val="left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en-US"/>
              </w:rPr>
              <w:t>麻醉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药名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剂量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途径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ab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周期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如属于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>联合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麻醉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，请补充第二种麻醉：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药名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剂量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途径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ab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周期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firstLine="422" w:firstLineChars="20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val="en-US"/>
              </w:rPr>
              <w:t>镇静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药名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剂量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途径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ab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周期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firstLine="422" w:firstLineChars="200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其它：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left="40"/>
              <w:jc w:val="left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00" w:type="dxa"/>
            <w:gridSpan w:val="10"/>
          </w:tcPr>
          <w:p>
            <w:pPr>
              <w:ind w:left="120" w:firstLine="420"/>
              <w:jc w:val="left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/>
              </w:rPr>
            </w:pP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 w:eastAsia="zh-CN"/>
              </w:rPr>
              <w:t>J2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/>
              </w:rPr>
              <w:t xml:space="preserve">. 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 w:eastAsia="zh-CN"/>
              </w:rPr>
              <w:t>术中护理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  <w:p>
            <w:pPr>
              <w:ind w:firstLine="422" w:firstLineChars="200"/>
              <w:jc w:val="left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无菌手术操作</w:t>
            </w:r>
          </w:p>
          <w:p>
            <w:pPr>
              <w:ind w:firstLine="422" w:firstLineChars="20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术中生命体征监测：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心率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呼吸频率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体温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血压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心电图</w:t>
            </w:r>
          </w:p>
          <w:p>
            <w:pPr>
              <w:ind w:firstLine="422" w:firstLineChars="200"/>
              <w:jc w:val="left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术中护理：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机械通风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保暖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降温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静脉输液</w:t>
            </w:r>
          </w:p>
          <w:p>
            <w:pPr>
              <w:ind w:firstLine="422" w:firstLineChars="20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其它：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left="40"/>
              <w:jc w:val="left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00" w:type="dxa"/>
            <w:gridSpan w:val="10"/>
          </w:tcPr>
          <w:p>
            <w:pPr>
              <w:ind w:left="120" w:firstLine="420"/>
              <w:jc w:val="left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u w:val="single"/>
                <w:lang w:val="en-US"/>
              </w:rPr>
            </w:pP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J3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u w:val="single"/>
              </w:rPr>
              <w:t>术后护理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u w:val="single"/>
              </w:rPr>
            </w:pPr>
          </w:p>
          <w:p>
            <w:pPr>
              <w:ind w:firstLine="422" w:firstLineChars="200"/>
              <w:jc w:val="left"/>
              <w:rPr>
                <w:rFonts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防止动物体温下降或脱水</w:t>
            </w:r>
            <w:r>
              <w:rPr>
                <w:rFonts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/>
              </w:rPr>
              <w:t>的</w:t>
            </w:r>
            <w:r>
              <w:rPr>
                <w:rFonts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预防措施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加热灯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/>
                <w:b/>
                <w:bCs w:val="0"/>
                <w:color w:val="auto"/>
                <w:sz w:val="21"/>
                <w:szCs w:val="21"/>
              </w:rPr>
              <w:t>加热垫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/>
              </w:rPr>
              <w:t>药物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药名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剂量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途径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ab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周期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firstLine="422" w:firstLineChars="200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其它：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left="40"/>
              <w:jc w:val="left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00" w:type="dxa"/>
            <w:gridSpan w:val="10"/>
          </w:tcPr>
          <w:p>
            <w:pPr>
              <w:ind w:left="120" w:firstLine="420"/>
              <w:jc w:val="left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/>
              </w:rPr>
            </w:pP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 w:eastAsia="zh-CN"/>
              </w:rPr>
              <w:t>J4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u w:val="single"/>
              </w:rPr>
              <w:t>术后止痛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u w:val="single"/>
              </w:rPr>
            </w:pPr>
          </w:p>
          <w:p>
            <w:pPr>
              <w:ind w:firstLine="422" w:firstLineChars="200"/>
              <w:jc w:val="left"/>
              <w:rPr>
                <w:rFonts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/>
              </w:rPr>
              <w:t>药物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药名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剂量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途径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ab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周期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firstLine="422" w:firstLineChars="20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其它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00" w:type="dxa"/>
            <w:gridSpan w:val="10"/>
          </w:tcPr>
          <w:p>
            <w:pPr>
              <w:ind w:left="120" w:firstLine="420"/>
              <w:jc w:val="left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/>
              </w:rPr>
            </w:pPr>
          </w:p>
          <w:p>
            <w:pPr>
              <w:ind w:left="120" w:firstLine="42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 w:eastAsia="zh-CN"/>
              </w:rPr>
              <w:t>J5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u w:val="single"/>
              </w:rPr>
              <w:t>术后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 w:eastAsia="zh-CN"/>
              </w:rPr>
              <w:t>抗感染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u w:val="single"/>
              </w:rPr>
            </w:pPr>
          </w:p>
          <w:p>
            <w:pPr>
              <w:ind w:firstLine="422" w:firstLineChars="200"/>
              <w:jc w:val="left"/>
              <w:rPr>
                <w:rFonts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/>
              </w:rPr>
              <w:t>药物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药名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剂量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途径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ab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周期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firstLine="422" w:firstLineChars="200"/>
              <w:jc w:val="left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</w:pPr>
            <w:bookmarkStart w:id="6" w:name="OLE_LINK4"/>
            <w:bookmarkStart w:id="7" w:name="OLE_LINK1"/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sym w:font="Wingdings 2" w:char="00A3"/>
            </w:r>
            <w:bookmarkEnd w:id="6"/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其它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：</w:t>
            </w:r>
            <w:bookmarkEnd w:id="7"/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left="40"/>
              <w:jc w:val="left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00" w:type="dxa"/>
            <w:gridSpan w:val="10"/>
          </w:tcPr>
          <w:p>
            <w:pPr>
              <w:ind w:left="120" w:firstLine="420"/>
              <w:jc w:val="left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/>
              </w:rPr>
            </w:pP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 w:eastAsia="zh-CN"/>
              </w:rPr>
              <w:t>J6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u w:val="single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u w:val="single"/>
              </w:rPr>
              <w:t>特殊护理条件（如笼具、温度、光照、卫生设施、食物、水等）</w:t>
            </w:r>
          </w:p>
          <w:p>
            <w:pPr>
              <w:ind w:left="120" w:firstLine="420"/>
              <w:jc w:val="left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u w:val="single"/>
              </w:rPr>
            </w:pPr>
          </w:p>
          <w:p>
            <w:pPr>
              <w:pStyle w:val="25"/>
              <w:spacing w:after="80"/>
              <w:ind w:firstLine="420" w:firstLineChars="200"/>
              <w:jc w:val="left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不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</w:t>
            </w: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是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zh-TW" w:eastAsia="zh-TW" w:bidi="zh-TW"/>
              </w:rPr>
              <w:t>说明：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ind w:left="4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7" w:hRule="atLeast"/>
        </w:trPr>
        <w:tc>
          <w:tcPr>
            <w:tcW w:w="9200" w:type="dxa"/>
            <w:gridSpan w:val="10"/>
          </w:tcPr>
          <w:tbl>
            <w:tblPr>
              <w:tblStyle w:val="11"/>
              <w:tblW w:w="9169" w:type="dxa"/>
              <w:tblInd w:w="-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0"/>
              <w:gridCol w:w="2618"/>
              <w:gridCol w:w="60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0" w:hRule="atLeast"/>
              </w:trPr>
              <w:tc>
                <w:tcPr>
                  <w:tcW w:w="9169" w:type="dxa"/>
                  <w:gridSpan w:val="3"/>
                </w:tcPr>
                <w:p>
                  <w:pPr>
                    <w:pStyle w:val="24"/>
                    <w:numPr>
                      <w:ilvl w:val="0"/>
                      <w:numId w:val="0"/>
                    </w:numPr>
                    <w:spacing w:before="1" w:line="289" w:lineRule="exact"/>
                    <w:ind w:leftChars="0"/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lang w:val="en-US" w:eastAsia="zh-CN" w:bidi="zh-CN"/>
                    </w:rPr>
                    <w:t>K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  <w:lang w:val="en-US" w:eastAsia="zh-CN" w:bidi="zh-CN"/>
                    </w:rPr>
                    <w:t>.</w:t>
                  </w:r>
                  <w:r>
                    <w:rPr>
                      <w:rFonts w:ascii="Times New Roman" w:hAnsi="Times New Roman" w:eastAsia="宋体" w:cs="Times New Roman"/>
                      <w:b/>
                      <w:bCs/>
                      <w:i w:val="0"/>
                      <w:iCs w:val="0"/>
                      <w:color w:val="auto"/>
                      <w:sz w:val="21"/>
                      <w:szCs w:val="21"/>
                      <w:lang w:val="zh-CN" w:eastAsia="zh-CN" w:bidi="zh-CN"/>
                    </w:rPr>
                    <w:t>USDA的动物疼痛与痛苦分类标准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1" w:hRule="atLeast"/>
              </w:trPr>
              <w:tc>
                <w:tcPr>
                  <w:tcW w:w="520" w:type="dxa"/>
                  <w:vAlign w:val="center"/>
                </w:tcPr>
                <w:p>
                  <w:pPr>
                    <w:pStyle w:val="24"/>
                    <w:spacing w:before="19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lang w:val="en-US" w:eastAsia="zh-CN" w:bidi="zh-TW"/>
                    </w:rPr>
                    <w:t>类型</w:t>
                  </w:r>
                </w:p>
              </w:tc>
              <w:tc>
                <w:tcPr>
                  <w:tcW w:w="2618" w:type="dxa"/>
                  <w:tcBorders>
                    <w:right w:val="single" w:color="000000" w:sz="6" w:space="0"/>
                  </w:tcBorders>
                  <w:vAlign w:val="center"/>
                </w:tcPr>
                <w:p>
                  <w:pPr>
                    <w:pStyle w:val="24"/>
                    <w:spacing w:before="19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  <w:lang w:val="zh-CN" w:eastAsia="zh-CN" w:bidi="zh-TW"/>
                    </w:rPr>
                    <w:t>定义</w:t>
                  </w:r>
                </w:p>
              </w:tc>
              <w:tc>
                <w:tcPr>
                  <w:tcW w:w="6031" w:type="dxa"/>
                  <w:tcBorders>
                    <w:left w:val="single" w:color="000000" w:sz="6" w:space="0"/>
                  </w:tcBorders>
                  <w:vAlign w:val="center"/>
                </w:tcPr>
                <w:p>
                  <w:pPr>
                    <w:pStyle w:val="24"/>
                    <w:spacing w:before="191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  <w:lang w:val="en-US" w:eastAsia="zh-CN" w:bidi="zh-TW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  <w:lang w:val="zh-CN" w:eastAsia="zh-CN" w:bidi="zh-TW"/>
                    </w:rPr>
                    <w:t>举例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6" w:hRule="atLeast"/>
              </w:trPr>
              <w:tc>
                <w:tcPr>
                  <w:tcW w:w="520" w:type="dxa"/>
                  <w:vAlign w:val="center"/>
                </w:tcPr>
                <w:p>
                  <w:pPr>
                    <w:pStyle w:val="24"/>
                    <w:spacing w:before="191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1"/>
                      <w:szCs w:val="21"/>
                      <w:lang w:val="en-US" w:eastAsia="zh-CN" w:bidi="zh-TW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1"/>
                      <w:szCs w:val="21"/>
                      <w:lang w:val="en-US"/>
                    </w:rPr>
                    <w:sym w:font="Wingdings 2" w:char="00A3"/>
                  </w: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  <w:t>B</w:t>
                  </w:r>
                </w:p>
              </w:tc>
              <w:tc>
                <w:tcPr>
                  <w:tcW w:w="2618" w:type="dxa"/>
                  <w:tcBorders>
                    <w:right w:val="single" w:color="000000" w:sz="6" w:space="0"/>
                  </w:tcBorders>
                  <w:vAlign w:val="center"/>
                </w:tcPr>
                <w:p>
                  <w:pPr>
                    <w:pStyle w:val="24"/>
                    <w:spacing w:before="191"/>
                    <w:jc w:val="left"/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  <w:t>不引起疼痛或不良反应。</w:t>
                  </w:r>
                </w:p>
              </w:tc>
              <w:tc>
                <w:tcPr>
                  <w:tcW w:w="6031" w:type="dxa"/>
                  <w:tcBorders>
                    <w:left w:val="single" w:color="000000" w:sz="6" w:space="0"/>
                  </w:tcBorders>
                  <w:vAlign w:val="center"/>
                </w:tcPr>
                <w:p>
                  <w:pPr>
                    <w:pStyle w:val="24"/>
                    <w:spacing w:before="191"/>
                    <w:jc w:val="left"/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  <w:t>教学、研究或测试仅涉及动物繁殖和饲养。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6" w:hRule="atLeast"/>
              </w:trPr>
              <w:tc>
                <w:tcPr>
                  <w:tcW w:w="520" w:type="dxa"/>
                  <w:vAlign w:val="center"/>
                </w:tcPr>
                <w:p>
                  <w:pPr>
                    <w:pStyle w:val="24"/>
                    <w:spacing w:before="191"/>
                    <w:jc w:val="center"/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1"/>
                      <w:szCs w:val="21"/>
                      <w:lang w:val="en-US"/>
                    </w:rPr>
                    <w:sym w:font="Wingdings 2" w:char="00A3"/>
                  </w: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  <w:t>C</w:t>
                  </w:r>
                </w:p>
              </w:tc>
              <w:tc>
                <w:tcPr>
                  <w:tcW w:w="2618" w:type="dxa"/>
                  <w:tcBorders>
                    <w:right w:val="single" w:color="000000" w:sz="6" w:space="0"/>
                  </w:tcBorders>
                  <w:vAlign w:val="center"/>
                </w:tcPr>
                <w:p>
                  <w:pPr>
                    <w:pStyle w:val="24"/>
                    <w:spacing w:before="191"/>
                    <w:jc w:val="left"/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  <w:t>暂时或轻微的疼痛或不良反应。</w:t>
                  </w:r>
                </w:p>
              </w:tc>
              <w:tc>
                <w:tcPr>
                  <w:tcW w:w="6031" w:type="dxa"/>
                  <w:tcBorders>
                    <w:left w:val="single" w:color="000000" w:sz="6" w:space="0"/>
                  </w:tcBorders>
                  <w:vAlign w:val="center"/>
                </w:tcPr>
                <w:p>
                  <w:pPr>
                    <w:pStyle w:val="24"/>
                    <w:numPr>
                      <w:ilvl w:val="0"/>
                      <w:numId w:val="5"/>
                    </w:numPr>
                    <w:spacing w:before="191"/>
                    <w:jc w:val="left"/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  <w:t>由训练有素的人员按照SOP和兽医指导实施的如喂水，喂药，浅静脉采血或静脉插管，X光检查，腹腔注射非刺激性药物等操作。</w:t>
                  </w:r>
                </w:p>
                <w:p>
                  <w:pPr>
                    <w:pStyle w:val="24"/>
                    <w:numPr>
                      <w:ilvl w:val="0"/>
                      <w:numId w:val="5"/>
                    </w:numPr>
                    <w:spacing w:before="191"/>
                    <w:ind w:left="40" w:leftChars="0" w:firstLine="0" w:firstLineChars="0"/>
                    <w:jc w:val="left"/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  <w:t>安乐死过程能够快速的使动物失去意识并人道死亡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 w:bidi="zh-TW"/>
                    </w:rPr>
                    <w:t>。</w:t>
                  </w:r>
                </w:p>
                <w:p>
                  <w:pPr>
                    <w:pStyle w:val="24"/>
                    <w:numPr>
                      <w:ilvl w:val="0"/>
                      <w:numId w:val="5"/>
                    </w:numPr>
                    <w:spacing w:before="191"/>
                    <w:ind w:left="40" w:leftChars="0" w:firstLine="0" w:firstLineChars="0"/>
                    <w:jc w:val="left"/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  <w:t>短时间的动物保定过程。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20" w:hRule="atLeast"/>
              </w:trPr>
              <w:tc>
                <w:tcPr>
                  <w:tcW w:w="520" w:type="dxa"/>
                  <w:vAlign w:val="center"/>
                </w:tcPr>
                <w:p>
                  <w:pPr>
                    <w:pStyle w:val="24"/>
                    <w:spacing w:before="191"/>
                    <w:jc w:val="center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1"/>
                      <w:szCs w:val="21"/>
                      <w:lang w:val="en-US"/>
                    </w:rPr>
                    <w:sym w:font="Wingdings 2" w:char="00A3"/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  <w:t>D</w:t>
                  </w:r>
                </w:p>
              </w:tc>
              <w:tc>
                <w:tcPr>
                  <w:tcW w:w="2618" w:type="dxa"/>
                  <w:tcBorders>
                    <w:right w:val="single" w:color="000000" w:sz="6" w:space="0"/>
                  </w:tcBorders>
                  <w:vAlign w:val="center"/>
                </w:tcPr>
                <w:p>
                  <w:pPr>
                    <w:pStyle w:val="24"/>
                    <w:spacing w:before="191"/>
                    <w:jc w:val="left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</w:p>
                <w:p>
                  <w:pPr>
                    <w:pStyle w:val="24"/>
                    <w:spacing w:before="191"/>
                    <w:jc w:val="left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  <w:t>产生疼痛和不良反应，但能够通过麻醉、镇痛或镇静等适当方法进行缓解。</w:t>
                  </w:r>
                </w:p>
              </w:tc>
              <w:tc>
                <w:tcPr>
                  <w:tcW w:w="6031" w:type="dxa"/>
                  <w:tcBorders>
                    <w:left w:val="single" w:color="000000" w:sz="6" w:space="0"/>
                  </w:tcBorders>
                  <w:vAlign w:val="center"/>
                </w:tcPr>
                <w:p>
                  <w:pPr>
                    <w:pStyle w:val="24"/>
                    <w:numPr>
                      <w:ilvl w:val="0"/>
                      <w:numId w:val="6"/>
                    </w:numPr>
                    <w:spacing w:before="191"/>
                    <w:jc w:val="left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  <w:t>由训练有素的人员按照SOP和兽医指导实施的如活体检查，性腺切除，血管暴露，长期埋植导管，剖腹手术、腹腔镜检查。</w:t>
                  </w:r>
                </w:p>
                <w:p>
                  <w:pPr>
                    <w:pStyle w:val="24"/>
                    <w:numPr>
                      <w:ilvl w:val="0"/>
                      <w:numId w:val="6"/>
                    </w:numPr>
                    <w:spacing w:before="191"/>
                    <w:ind w:left="40" w:leftChars="0" w:firstLine="0" w:firstLineChars="0"/>
                    <w:jc w:val="left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  <w:t>啮齿类采用的心脏采血和眼球采血。</w:t>
                  </w:r>
                </w:p>
                <w:p>
                  <w:pPr>
                    <w:pStyle w:val="24"/>
                    <w:numPr>
                      <w:ilvl w:val="0"/>
                      <w:numId w:val="6"/>
                    </w:numPr>
                    <w:spacing w:before="191"/>
                    <w:ind w:left="40" w:leftChars="0" w:firstLine="0" w:firstLineChars="0"/>
                    <w:jc w:val="left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  <w:t>药物评估、毒理学研究或感染等过程可能会产生疼痛和不良反应，但是可以通过镇痛得到缓解。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1" w:hRule="atLeast"/>
              </w:trPr>
              <w:tc>
                <w:tcPr>
                  <w:tcW w:w="520" w:type="dxa"/>
                  <w:vAlign w:val="center"/>
                </w:tcPr>
                <w:p>
                  <w:pPr>
                    <w:pStyle w:val="24"/>
                    <w:spacing w:before="191"/>
                    <w:jc w:val="center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1"/>
                      <w:szCs w:val="21"/>
                      <w:lang w:val="en-US"/>
                    </w:rPr>
                    <w:sym w:font="Wingdings 2" w:char="00A3"/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  <w:t>E</w:t>
                  </w:r>
                </w:p>
              </w:tc>
              <w:tc>
                <w:tcPr>
                  <w:tcW w:w="2618" w:type="dxa"/>
                  <w:tcBorders>
                    <w:right w:val="single" w:color="000000" w:sz="6" w:space="0"/>
                  </w:tcBorders>
                  <w:vAlign w:val="center"/>
                </w:tcPr>
                <w:p>
                  <w:pPr>
                    <w:pStyle w:val="24"/>
                    <w:spacing w:before="191"/>
                    <w:jc w:val="left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  <w:t>产生疼痛和不良反应，但因麻醉药、止痛药或镇定药物的使用会使实验结果有负面影响而不能使用。</w:t>
                  </w:r>
                </w:p>
              </w:tc>
              <w:tc>
                <w:tcPr>
                  <w:tcW w:w="6031" w:type="dxa"/>
                  <w:tcBorders>
                    <w:left w:val="single" w:color="000000" w:sz="6" w:space="0"/>
                  </w:tcBorders>
                  <w:vAlign w:val="center"/>
                </w:tcPr>
                <w:p>
                  <w:pPr>
                    <w:pStyle w:val="24"/>
                    <w:numPr>
                      <w:ilvl w:val="0"/>
                      <w:numId w:val="7"/>
                    </w:numPr>
                    <w:spacing w:before="191"/>
                    <w:jc w:val="left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  <w:t>实验造成的痛苦和不良反应不能通过镇痛进行缓解，如毒理学研究，微生物的毒力检测，辐射病，研究应激、惊吓和疼痛。</w:t>
                  </w:r>
                </w:p>
                <w:p>
                  <w:pPr>
                    <w:pStyle w:val="24"/>
                    <w:numPr>
                      <w:ilvl w:val="0"/>
                      <w:numId w:val="7"/>
                    </w:numPr>
                    <w:spacing w:before="191"/>
                    <w:ind w:left="40" w:leftChars="0" w:firstLine="0" w:firstLineChars="0"/>
                    <w:jc w:val="left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  <w:t>手术和术后的体腔感染，整形，由身体的组织器官损伤导致的不可缓解的疼痛。</w:t>
                  </w:r>
                </w:p>
                <w:p>
                  <w:pPr>
                    <w:pStyle w:val="24"/>
                    <w:numPr>
                      <w:ilvl w:val="0"/>
                      <w:numId w:val="7"/>
                    </w:numPr>
                    <w:spacing w:before="191"/>
                    <w:ind w:left="40" w:leftChars="0" w:firstLine="0" w:firstLineChars="0"/>
                    <w:jc w:val="left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zh-CN" w:eastAsia="zh-CN" w:bidi="zh-TW"/>
                    </w:rPr>
                    <w:t>非人灵长类不经训练而进行的长期保定。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2" w:hRule="atLeast"/>
              </w:trPr>
              <w:tc>
                <w:tcPr>
                  <w:tcW w:w="9169" w:type="dxa"/>
                  <w:gridSpan w:val="3"/>
                </w:tcPr>
                <w:p>
                  <w:pPr>
                    <w:pStyle w:val="24"/>
                    <w:spacing w:before="1"/>
                    <w:ind w:left="0" w:leftChars="0" w:firstLine="0" w:firstLineChars="0"/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  <w:t>如果本实验的疼痛类型属于D，请说明如何减轻动物疼痛或痛苦。如果本实验的疼痛类型属于E，请说明不减轻动物疼痛与痛苦的科学理由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38" w:hRule="atLeast"/>
              </w:trPr>
              <w:tc>
                <w:tcPr>
                  <w:tcW w:w="9169" w:type="dxa"/>
                  <w:gridSpan w:val="3"/>
                </w:tcPr>
                <w:p>
                  <w:pPr>
                    <w:pStyle w:val="24"/>
                    <w:spacing w:before="1"/>
                    <w:ind w:left="0" w:leftChars="0" w:firstLine="0" w:firstLineChars="0"/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  <w:t>对于疼痛类型为D或E的动物实验，请说明是否考虑过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 w:bidi="zh-TW"/>
                    </w:rPr>
                    <w:t>其它</w:t>
                  </w:r>
                  <w:r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  <w:t>方法进行替代，如不能，请详细描述其不可替代的原因</w:t>
                  </w:r>
                </w:p>
                <w:p>
                  <w:pPr>
                    <w:pStyle w:val="24"/>
                    <w:spacing w:before="1"/>
                    <w:ind w:left="0" w:leftChars="0" w:firstLine="0" w:firstLineChars="0"/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</w:p>
                <w:p>
                  <w:pPr>
                    <w:pStyle w:val="24"/>
                    <w:spacing w:before="1"/>
                    <w:ind w:left="0" w:leftChars="0" w:firstLine="0" w:firstLineChars="0"/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</w:p>
                <w:p>
                  <w:pPr>
                    <w:pStyle w:val="24"/>
                    <w:spacing w:before="1"/>
                    <w:ind w:left="0" w:leftChars="0" w:firstLine="0" w:firstLineChars="0"/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</w:p>
                <w:p>
                  <w:pPr>
                    <w:pStyle w:val="24"/>
                    <w:spacing w:before="1"/>
                    <w:ind w:left="0" w:leftChars="0" w:firstLine="0" w:firstLineChars="0"/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</w:p>
                <w:p>
                  <w:pPr>
                    <w:pStyle w:val="24"/>
                    <w:spacing w:before="1"/>
                    <w:ind w:left="0" w:leftChars="0" w:firstLine="0" w:firstLineChars="0"/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</w:p>
                <w:p>
                  <w:pPr>
                    <w:pStyle w:val="24"/>
                    <w:spacing w:before="1"/>
                    <w:ind w:left="0" w:leftChars="0" w:firstLine="0" w:firstLineChars="0"/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lang w:val="zh-CN" w:eastAsia="zh-CN" w:bidi="zh-TW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200" w:type="dxa"/>
            <w:gridSpan w:val="10"/>
          </w:tcPr>
          <w:p>
            <w:pPr>
              <w:pStyle w:val="25"/>
              <w:numPr>
                <w:ilvl w:val="0"/>
                <w:numId w:val="0"/>
              </w:numPr>
              <w:spacing w:after="60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 w:bidi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 w:bidi="zh-TW"/>
              </w:rPr>
              <w:t>L.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zh-TW" w:eastAsia="zh-TW" w:bidi="zh-TW"/>
              </w:rPr>
              <w:t>仁慈终点或实验终结的指标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bidi="zh-TW"/>
              </w:rPr>
              <w:t xml:space="preserve"> </w:t>
            </w:r>
          </w:p>
          <w:p>
            <w:pPr>
              <w:adjustRightInd w:val="0"/>
              <w:spacing w:line="260" w:lineRule="exact"/>
              <w:ind w:left="628" w:leftChars="190" w:hanging="210" w:hangingChars="100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口快速消瘦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  <w:t>（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失去原体重的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15%~20%）；      </w:t>
            </w:r>
          </w:p>
          <w:p>
            <w:pPr>
              <w:adjustRightInd w:val="0"/>
              <w:spacing w:line="260" w:lineRule="exact"/>
              <w:ind w:firstLine="420" w:firstLineChars="20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口成长期动物持续无增重；</w:t>
            </w:r>
          </w:p>
          <w:p>
            <w:pPr>
              <w:adjustRightInd w:val="0"/>
              <w:spacing w:line="260" w:lineRule="exact"/>
              <w:ind w:left="628" w:leftChars="190" w:hanging="210" w:hangingChars="10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口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出现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濒死动物特征，如较严重或持续萎靡不振、躺卧不起、抽搐、四肢瘫痪、呼吸困难等；</w:t>
            </w:r>
          </w:p>
          <w:p>
            <w:pPr>
              <w:adjustRightInd w:val="0"/>
              <w:spacing w:line="260" w:lineRule="exact"/>
              <w:ind w:left="628" w:leftChars="190" w:hanging="210" w:hangingChars="10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口肿瘤负担大于10%体重，肿瘤长径小鼠（裸鼠）超过20毫米，大鼠超过40毫米；</w:t>
            </w:r>
          </w:p>
          <w:p>
            <w:pPr>
              <w:adjustRightInd w:val="0"/>
              <w:spacing w:line="260" w:lineRule="exact"/>
              <w:ind w:firstLine="420" w:firstLineChars="20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口肿瘤溃烂、感染或坏死；                    </w:t>
            </w:r>
          </w:p>
          <w:p>
            <w:pPr>
              <w:adjustRightInd w:val="0"/>
              <w:spacing w:line="260" w:lineRule="exact"/>
              <w:ind w:firstLine="420" w:firstLineChars="20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口肿瘤干扰进食或妨碍行走；</w:t>
            </w:r>
          </w:p>
          <w:p>
            <w:pPr>
              <w:ind w:firstLine="420" w:firstLineChars="20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口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体温低于正常体温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10%以上（麻醉期间动物除外）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；</w:t>
            </w:r>
          </w:p>
          <w:p>
            <w:pPr>
              <w:ind w:firstLine="420" w:firstLineChars="20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口其它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bidi="en-US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200" w:type="dxa"/>
            <w:gridSpan w:val="10"/>
          </w:tcPr>
          <w:p>
            <w:pPr>
              <w:pStyle w:val="24"/>
              <w:numPr>
                <w:ilvl w:val="0"/>
                <w:numId w:val="0"/>
              </w:numPr>
              <w:spacing w:before="1" w:line="289" w:lineRule="exact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M.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预期死亡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方式和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安乐死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300" w:type="dxa"/>
            <w:gridSpan w:val="2"/>
          </w:tcPr>
          <w:p>
            <w:pPr>
              <w:pStyle w:val="24"/>
              <w:spacing w:before="1" w:line="289" w:lineRule="exact"/>
              <w:ind w:left="410" w:right="40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预期死亡方式</w:t>
            </w:r>
          </w:p>
          <w:p>
            <w:pPr>
              <w:pStyle w:val="24"/>
              <w:spacing w:before="1" w:line="289" w:lineRule="exact"/>
              <w:ind w:left="0" w:right="40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900" w:type="dxa"/>
            <w:gridSpan w:val="8"/>
          </w:tcPr>
          <w:p>
            <w:pPr>
              <w:pStyle w:val="24"/>
              <w:spacing w:before="1" w:line="289" w:lineRule="exact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自然死亡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   </w:t>
            </w: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实验中死亡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实施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  <w:t>安乐死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2300" w:type="dxa"/>
            <w:gridSpan w:val="2"/>
            <w:vMerge w:val="restart"/>
            <w:vAlign w:val="center"/>
          </w:tcPr>
          <w:p>
            <w:pPr>
              <w:pStyle w:val="24"/>
              <w:spacing w:before="1"/>
              <w:ind w:left="410" w:right="40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安乐死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方法</w:t>
            </w:r>
          </w:p>
          <w:p>
            <w:pPr>
              <w:pStyle w:val="24"/>
              <w:spacing w:before="1"/>
              <w:ind w:left="410" w:right="40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900" w:type="dxa"/>
            <w:gridSpan w:val="8"/>
          </w:tcPr>
          <w:p>
            <w:pPr>
              <w:pStyle w:val="8"/>
              <w:spacing w:before="120" w:beforeLines="50"/>
              <w:rPr>
                <w:rFonts w:hint="eastAsia"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麻醉后颈椎脱臼</w:t>
            </w:r>
          </w:p>
          <w:p>
            <w:pPr>
              <w:pStyle w:val="8"/>
              <w:spacing w:before="120" w:beforeLines="50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麻醉后放血</w:t>
            </w:r>
          </w:p>
          <w:p>
            <w:pPr>
              <w:pStyle w:val="8"/>
              <w:spacing w:before="120" w:beforeLines="50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color w:val="auto"/>
                <w:sz w:val="21"/>
                <w:szCs w:val="21"/>
                <w:lang w:val="en-US" w:eastAsia="zh-CN"/>
              </w:rPr>
              <w:t>麻醉后静脉注射</w:t>
            </w:r>
            <w:r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ab/>
            </w:r>
          </w:p>
          <w:p>
            <w:pPr>
              <w:pStyle w:val="24"/>
              <w:spacing w:before="1" w:line="289" w:lineRule="exact"/>
              <w:ind w:left="0"/>
              <w:jc w:val="both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过量麻醉</w:t>
            </w:r>
          </w:p>
          <w:p>
            <w:pPr>
              <w:pStyle w:val="24"/>
              <w:spacing w:before="1" w:line="289" w:lineRule="exact"/>
              <w:ind w:left="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CO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吸入</w:t>
            </w:r>
          </w:p>
          <w:p>
            <w:pPr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val="en-US" w:bidi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其它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bidi="en-US"/>
              </w:rPr>
              <w:t>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2300" w:type="dxa"/>
            <w:gridSpan w:val="2"/>
            <w:vMerge w:val="continue"/>
          </w:tcPr>
          <w:p>
            <w:pPr>
              <w:pStyle w:val="24"/>
              <w:spacing w:before="1"/>
              <w:ind w:left="410" w:right="40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900" w:type="dxa"/>
            <w:gridSpan w:val="8"/>
          </w:tcPr>
          <w:p>
            <w:pPr>
              <w:pStyle w:val="24"/>
              <w:spacing w:before="1" w:line="289" w:lineRule="exact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single"/>
                <w:lang w:val="en-US" w:bidi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bidi="en-US"/>
              </w:rPr>
              <w:t>本实验安乐死涉及的药物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 w:bidi="en-US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bidi="en-US"/>
              </w:rPr>
              <w:t>剂量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 w:bidi="en-US"/>
              </w:rPr>
              <w:t xml:space="preserve">和给药途径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不涉及（无需填写）</w:t>
            </w:r>
          </w:p>
          <w:p>
            <w:pPr>
              <w:pStyle w:val="24"/>
              <w:spacing w:before="1" w:line="289" w:lineRule="exact"/>
              <w:jc w:val="both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</w:pPr>
            <w:bookmarkStart w:id="8" w:name="OLE_LINK3"/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安乐死涉及的药物名称：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pStyle w:val="24"/>
              <w:spacing w:before="1" w:line="289" w:lineRule="exac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药物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剂量：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</w:p>
          <w:p>
            <w:pPr>
              <w:pStyle w:val="24"/>
              <w:spacing w:before="1" w:line="289" w:lineRule="exac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 w:bidi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给药途径：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u w:val="single"/>
                <w:lang w:val="en-US"/>
              </w:rPr>
              <w:t xml:space="preserve">                             </w:t>
            </w:r>
            <w:bookmarkEnd w:id="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9200" w:type="dxa"/>
            <w:gridSpan w:val="10"/>
            <w:vAlign w:val="center"/>
          </w:tcPr>
          <w:p>
            <w:pPr>
              <w:pStyle w:val="24"/>
              <w:numPr>
                <w:ilvl w:val="0"/>
                <w:numId w:val="0"/>
              </w:numPr>
              <w:spacing w:before="1" w:line="289" w:lineRule="exac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N.实验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淘汰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/备用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>动物的去向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不涉及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（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无需填写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）</w:t>
            </w:r>
          </w:p>
          <w:p>
            <w:pPr>
              <w:pStyle w:val="24"/>
              <w:spacing w:before="1"/>
              <w:ind w:left="0" w:firstLine="420" w:firstLineChars="200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安乐死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>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教学；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其它动物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实验；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其它用途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，请列明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u w:val="single"/>
                <w:lang w:val="en-US" w:bidi="en-US"/>
              </w:rPr>
              <w:t xml:space="preserve">                                                                               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u w:val="single"/>
                <w:lang w:val="en-US" w:eastAsia="zh-CN" w:bidi="en-US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u w:val="single"/>
                <w:lang w:val="en-US" w:bidi="en-US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9200" w:type="dxa"/>
            <w:gridSpan w:val="10"/>
          </w:tcPr>
          <w:p>
            <w:pPr>
              <w:pStyle w:val="24"/>
              <w:numPr>
                <w:ilvl w:val="0"/>
                <w:numId w:val="0"/>
              </w:numPr>
              <w:spacing w:before="1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O.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动物尸体处理方式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/>
              </w:rPr>
              <w:t xml:space="preserve"> </w:t>
            </w:r>
          </w:p>
          <w:p>
            <w:pPr>
              <w:pStyle w:val="24"/>
              <w:spacing w:before="1"/>
              <w:ind w:left="0" w:firstLine="420" w:firstLineChars="200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>有资质单位</w:t>
            </w: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统一进行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无害化处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/>
              </w:rPr>
              <w:t>理；</w:t>
            </w:r>
          </w:p>
          <w:p>
            <w:pPr>
              <w:pStyle w:val="24"/>
              <w:spacing w:before="1"/>
              <w:ind w:left="0" w:firstLine="420" w:firstLineChars="20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其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它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，请列明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u w:val="single"/>
                <w:lang w:val="en-US" w:bidi="en-US"/>
              </w:rPr>
              <w:t xml:space="preserve">                                                                                                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u w:val="single"/>
                <w:lang w:val="en-US" w:eastAsia="zh-CN" w:bidi="en-US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u w:val="single"/>
                <w:lang w:val="en-US" w:bidi="en-US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4" w:hRule="atLeast"/>
        </w:trPr>
        <w:tc>
          <w:tcPr>
            <w:tcW w:w="9200" w:type="dxa"/>
            <w:gridSpan w:val="10"/>
          </w:tcPr>
          <w:p>
            <w:pPr>
              <w:pStyle w:val="26"/>
              <w:keepNext/>
              <w:keepLines/>
              <w:numPr>
                <w:ilvl w:val="255"/>
                <w:numId w:val="0"/>
              </w:numPr>
              <w:spacing w:after="0" w:line="275" w:lineRule="exact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bookmarkStart w:id="9" w:name="bookmark15"/>
            <w:bookmarkStart w:id="10" w:name="bookmark16"/>
            <w:bookmarkStart w:id="11" w:name="bookmark17"/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P.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声明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6"/>
              <w:keepNext/>
              <w:keepLines/>
              <w:spacing w:after="0" w:line="275" w:lineRule="exact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pStyle w:val="26"/>
              <w:keepNext/>
              <w:keepLines/>
              <w:spacing w:after="0" w:line="275" w:lineRule="exact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1.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我将自觉遵守实验动物福利伦理相关法规和各项规定，同意接受伦理委员会和动物实验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部门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管理者的监督与检査</w:t>
            </w:r>
            <w:bookmarkEnd w:id="9"/>
            <w:bookmarkEnd w:id="10"/>
            <w:bookmarkEnd w:id="11"/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26"/>
              <w:keepNext/>
              <w:keepLines/>
              <w:spacing w:after="0" w:line="275" w:lineRule="exact"/>
              <w:ind w:firstLine="210" w:firstLineChars="100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bookmarkStart w:id="12" w:name="bookmark20"/>
            <w:bookmarkStart w:id="13" w:name="bookmark19"/>
            <w:bookmarkStart w:id="14" w:name="bookmark18"/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本人保证本申请表中所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  <w:t>填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内容真实、详尽和易</w:t>
            </w:r>
            <w:bookmarkEnd w:id="12"/>
            <w:bookmarkEnd w:id="13"/>
            <w:bookmarkEnd w:id="14"/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懂。</w:t>
            </w:r>
          </w:p>
          <w:p>
            <w:pPr>
              <w:pStyle w:val="26"/>
              <w:keepNext/>
              <w:keepLines/>
              <w:spacing w:after="0" w:line="275" w:lineRule="exact"/>
              <w:ind w:firstLine="210" w:firstLineChars="100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6"/>
              <w:keepNext/>
              <w:keepLines/>
              <w:spacing w:after="0" w:line="275" w:lineRule="exact"/>
              <w:ind w:firstLine="210" w:firstLineChars="100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6"/>
              <w:keepNext/>
              <w:keepLines/>
              <w:spacing w:after="0" w:line="275" w:lineRule="exact"/>
              <w:ind w:firstLine="210" w:firstLineChars="100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6"/>
              <w:keepNext/>
              <w:keepLines/>
              <w:spacing w:after="0" w:line="275" w:lineRule="exact"/>
              <w:ind w:firstLine="210" w:firstLineChars="100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6"/>
              <w:keepNext/>
              <w:keepLines/>
              <w:spacing w:after="0" w:line="275" w:lineRule="exact"/>
              <w:ind w:firstLine="210" w:firstLineChars="100"/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项目负责人签名：</w:t>
            </w:r>
          </w:p>
          <w:p>
            <w:pPr>
              <w:pStyle w:val="26"/>
              <w:keepNext/>
              <w:keepLines/>
              <w:spacing w:after="0" w:line="275" w:lineRule="exact"/>
              <w:ind w:firstLine="210" w:firstLineChars="100"/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日期：</w:t>
            </w:r>
          </w:p>
          <w:p>
            <w:pPr>
              <w:pStyle w:val="24"/>
              <w:spacing w:line="380" w:lineRule="atLeast"/>
              <w:ind w:left="0" w:right="29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pStyle w:val="24"/>
              <w:spacing w:line="380" w:lineRule="atLeast"/>
              <w:ind w:left="0" w:right="29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pStyle w:val="24"/>
              <w:spacing w:line="380" w:lineRule="atLeast"/>
              <w:ind w:left="0" w:right="29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pStyle w:val="24"/>
              <w:spacing w:line="380" w:lineRule="atLeast"/>
              <w:ind w:left="0" w:right="29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pStyle w:val="24"/>
              <w:spacing w:line="380" w:lineRule="atLeast"/>
              <w:ind w:left="0" w:right="29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pStyle w:val="24"/>
              <w:spacing w:line="380" w:lineRule="atLeast"/>
              <w:ind w:left="0" w:right="29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rPr>
          <w:color w:val="auto"/>
        </w:rPr>
      </w:pPr>
    </w:p>
    <w:sectPr>
      <w:headerReference r:id="rId3" w:type="default"/>
      <w:footerReference r:id="rId4" w:type="default"/>
      <w:pgSz w:w="11900" w:h="16840"/>
      <w:pgMar w:top="840" w:right="1240" w:bottom="780" w:left="1240" w:header="445" w:footer="589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Garamon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  <w:lang w:val="en-US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eastAsia="楷体"/>
        <w:sz w:val="18"/>
        <w:szCs w:val="18"/>
        <w:lang w:val="en-US"/>
      </w:rPr>
    </w:pPr>
    <w:r>
      <w:rPr>
        <w:rFonts w:hint="eastAsia" w:hAnsi="楷体" w:eastAsia="楷体"/>
        <w:sz w:val="18"/>
        <w:szCs w:val="18"/>
        <w:lang w:val="en-US"/>
      </w:rPr>
      <w:t xml:space="preserve">广东省人民医院（广东省医学科学院）实验动物研究中心 </w:t>
    </w:r>
    <w:r>
      <w:rPr>
        <w:rFonts w:eastAsia="楷体"/>
        <w:sz w:val="18"/>
        <w:szCs w:val="18"/>
      </w:rPr>
      <w:t>|</w:t>
    </w:r>
    <w:r>
      <w:rPr>
        <w:rFonts w:hint="eastAsia" w:eastAsia="楷体"/>
        <w:sz w:val="18"/>
        <w:szCs w:val="18"/>
        <w:lang w:val="en-US"/>
      </w:rPr>
      <w:t xml:space="preserve"> </w:t>
    </w:r>
    <w:r>
      <w:rPr>
        <w:rFonts w:hint="eastAsia" w:hAnsi="楷体" w:eastAsia="楷体"/>
        <w:sz w:val="18"/>
        <w:szCs w:val="18"/>
        <w:lang w:val="en-US"/>
      </w:rPr>
      <w:t>广东省医学实验动物中心</w:t>
    </w:r>
    <w:r>
      <w:rPr>
        <w:rFonts w:hint="eastAsia" w:hAnsi="楷体" w:eastAsia="楷体"/>
        <w:sz w:val="18"/>
        <w:szCs w:val="18"/>
        <w:lang w:val="en-US" w:eastAsia="zh-CN"/>
      </w:rPr>
      <w:t xml:space="preserve">      文件编号：AF/SQ-04/03.1</w:t>
    </w:r>
    <w:r>
      <w:rPr>
        <w:rFonts w:hint="eastAsia" w:hAnsi="楷体" w:eastAsia="楷体"/>
        <w:sz w:val="18"/>
        <w:szCs w:val="18"/>
      </w:rPr>
      <w:t>实验动物科技</w:t>
    </w:r>
    <w:r>
      <w:rPr>
        <w:rFonts w:hint="eastAsia" w:hAnsi="楷体" w:eastAsia="楷体"/>
        <w:sz w:val="18"/>
        <w:szCs w:val="18"/>
        <w:lang w:val="en-US"/>
      </w:rPr>
      <w:t>伦理</w:t>
    </w:r>
    <w:r>
      <w:rPr>
        <w:rFonts w:hAnsi="楷体" w:eastAsia="楷体"/>
        <w:sz w:val="18"/>
        <w:szCs w:val="18"/>
      </w:rPr>
      <w:t>委员会</w:t>
    </w:r>
    <w:r>
      <w:rPr>
        <w:rFonts w:eastAsia="楷体"/>
        <w:sz w:val="18"/>
        <w:szCs w:val="18"/>
      </w:rPr>
      <w:t xml:space="preserve"> </w:t>
    </w:r>
    <w:r>
      <w:rPr>
        <w:rFonts w:hint="eastAsia" w:eastAsia="楷体"/>
        <w:sz w:val="18"/>
        <w:szCs w:val="18"/>
        <w:lang w:val="en-US"/>
      </w:rPr>
      <w:t xml:space="preserve">                              版本号：          版本日期：</w:t>
    </w:r>
  </w:p>
  <w:p>
    <w:pPr>
      <w:pStyle w:val="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5BEBF"/>
    <w:multiLevelType w:val="singleLevel"/>
    <w:tmpl w:val="87D5BEBF"/>
    <w:lvl w:ilvl="0" w:tentative="0">
      <w:start w:val="1"/>
      <w:numFmt w:val="upperLetter"/>
      <w:suff w:val="space"/>
      <w:lvlText w:val="%1."/>
      <w:lvlJc w:val="left"/>
      <w:rPr>
        <w:b/>
      </w:rPr>
    </w:lvl>
  </w:abstractNum>
  <w:abstractNum w:abstractNumId="1">
    <w:nsid w:val="A6345A67"/>
    <w:multiLevelType w:val="singleLevel"/>
    <w:tmpl w:val="A6345A6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200DC13"/>
    <w:multiLevelType w:val="singleLevel"/>
    <w:tmpl w:val="B200DC1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66E1FDC"/>
    <w:multiLevelType w:val="singleLevel"/>
    <w:tmpl w:val="B66E1FD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C61433E"/>
    <w:multiLevelType w:val="singleLevel"/>
    <w:tmpl w:val="DC61433E"/>
    <w:lvl w:ilvl="0" w:tentative="0">
      <w:start w:val="1"/>
      <w:numFmt w:val="lowerLetter"/>
      <w:suff w:val="space"/>
      <w:lvlText w:val="%1."/>
      <w:lvlJc w:val="left"/>
    </w:lvl>
  </w:abstractNum>
  <w:abstractNum w:abstractNumId="5">
    <w:nsid w:val="E7657A08"/>
    <w:multiLevelType w:val="singleLevel"/>
    <w:tmpl w:val="E7657A08"/>
    <w:lvl w:ilvl="0" w:tentative="0">
      <w:start w:val="1"/>
      <w:numFmt w:val="lowerLetter"/>
      <w:suff w:val="space"/>
      <w:lvlText w:val="%1."/>
      <w:lvlJc w:val="left"/>
    </w:lvl>
  </w:abstractNum>
  <w:abstractNum w:abstractNumId="6">
    <w:nsid w:val="3352AE56"/>
    <w:multiLevelType w:val="singleLevel"/>
    <w:tmpl w:val="3352AE56"/>
    <w:lvl w:ilvl="0" w:tentative="0">
      <w:start w:val="4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OWIzOWNiY2U3NWMzZDFhOGM0MmZlMDUyODE5MTcifQ=="/>
  </w:docVars>
  <w:rsids>
    <w:rsidRoot w:val="008775DD"/>
    <w:rsid w:val="001669D4"/>
    <w:rsid w:val="001F7E24"/>
    <w:rsid w:val="00245FEF"/>
    <w:rsid w:val="003E0881"/>
    <w:rsid w:val="0046142A"/>
    <w:rsid w:val="00632221"/>
    <w:rsid w:val="006D631C"/>
    <w:rsid w:val="007815BD"/>
    <w:rsid w:val="00800707"/>
    <w:rsid w:val="008775DD"/>
    <w:rsid w:val="00891AD9"/>
    <w:rsid w:val="009529F9"/>
    <w:rsid w:val="00A74A3F"/>
    <w:rsid w:val="00B721AD"/>
    <w:rsid w:val="00D0172C"/>
    <w:rsid w:val="00DB462F"/>
    <w:rsid w:val="00DC0125"/>
    <w:rsid w:val="00DC19CB"/>
    <w:rsid w:val="00DE16D1"/>
    <w:rsid w:val="00DF5DFF"/>
    <w:rsid w:val="00E031C7"/>
    <w:rsid w:val="00F73A17"/>
    <w:rsid w:val="00F878EB"/>
    <w:rsid w:val="00FC4938"/>
    <w:rsid w:val="012F41F1"/>
    <w:rsid w:val="015679D0"/>
    <w:rsid w:val="01696696"/>
    <w:rsid w:val="01F30184"/>
    <w:rsid w:val="020D7549"/>
    <w:rsid w:val="02693CD6"/>
    <w:rsid w:val="02C11B85"/>
    <w:rsid w:val="02C54BE0"/>
    <w:rsid w:val="02D7024E"/>
    <w:rsid w:val="032C6849"/>
    <w:rsid w:val="037A40C6"/>
    <w:rsid w:val="03864EFF"/>
    <w:rsid w:val="039B64CF"/>
    <w:rsid w:val="03AC20C9"/>
    <w:rsid w:val="03AD6397"/>
    <w:rsid w:val="041D3237"/>
    <w:rsid w:val="04540574"/>
    <w:rsid w:val="056A1E4E"/>
    <w:rsid w:val="05D97573"/>
    <w:rsid w:val="05E77C71"/>
    <w:rsid w:val="063D115E"/>
    <w:rsid w:val="066D0D77"/>
    <w:rsid w:val="06953071"/>
    <w:rsid w:val="06B47980"/>
    <w:rsid w:val="06B8545D"/>
    <w:rsid w:val="06E75BC5"/>
    <w:rsid w:val="07407D45"/>
    <w:rsid w:val="07576038"/>
    <w:rsid w:val="077727B1"/>
    <w:rsid w:val="07A20388"/>
    <w:rsid w:val="07A50D69"/>
    <w:rsid w:val="07DD49A7"/>
    <w:rsid w:val="07FD4008"/>
    <w:rsid w:val="08193505"/>
    <w:rsid w:val="08387E2F"/>
    <w:rsid w:val="083B5B64"/>
    <w:rsid w:val="08B008C3"/>
    <w:rsid w:val="08DD233C"/>
    <w:rsid w:val="08FE27A8"/>
    <w:rsid w:val="092032A5"/>
    <w:rsid w:val="09532A47"/>
    <w:rsid w:val="09E50AFE"/>
    <w:rsid w:val="0A6C1A07"/>
    <w:rsid w:val="0A782BB8"/>
    <w:rsid w:val="0AD14AC6"/>
    <w:rsid w:val="0AFA1BE7"/>
    <w:rsid w:val="0B13315E"/>
    <w:rsid w:val="0B896BF3"/>
    <w:rsid w:val="0B9A2BAF"/>
    <w:rsid w:val="0BB85EB8"/>
    <w:rsid w:val="0BC93FA0"/>
    <w:rsid w:val="0BDA6398"/>
    <w:rsid w:val="0BDC60E7"/>
    <w:rsid w:val="0C1D02B6"/>
    <w:rsid w:val="0C21208A"/>
    <w:rsid w:val="0C4627C4"/>
    <w:rsid w:val="0C8A1E54"/>
    <w:rsid w:val="0CF76E54"/>
    <w:rsid w:val="0D8B27AF"/>
    <w:rsid w:val="0DDB2253"/>
    <w:rsid w:val="0DF7707C"/>
    <w:rsid w:val="0E3E1F17"/>
    <w:rsid w:val="0E8B6327"/>
    <w:rsid w:val="0F6E4136"/>
    <w:rsid w:val="0F896BFD"/>
    <w:rsid w:val="0F8971C2"/>
    <w:rsid w:val="0F957915"/>
    <w:rsid w:val="0FB54297"/>
    <w:rsid w:val="10433815"/>
    <w:rsid w:val="105570A4"/>
    <w:rsid w:val="10BF1855"/>
    <w:rsid w:val="10E9595A"/>
    <w:rsid w:val="10ED552F"/>
    <w:rsid w:val="11835C77"/>
    <w:rsid w:val="118D0978"/>
    <w:rsid w:val="11BF511D"/>
    <w:rsid w:val="12046FD4"/>
    <w:rsid w:val="12276DF0"/>
    <w:rsid w:val="126206F3"/>
    <w:rsid w:val="128B6827"/>
    <w:rsid w:val="129F1CFA"/>
    <w:rsid w:val="12D530D5"/>
    <w:rsid w:val="12D74215"/>
    <w:rsid w:val="12E806A4"/>
    <w:rsid w:val="12E9790E"/>
    <w:rsid w:val="134356FC"/>
    <w:rsid w:val="13D62E35"/>
    <w:rsid w:val="142F5CE6"/>
    <w:rsid w:val="14373289"/>
    <w:rsid w:val="145915BF"/>
    <w:rsid w:val="14763940"/>
    <w:rsid w:val="14AA20B4"/>
    <w:rsid w:val="14FD7D4C"/>
    <w:rsid w:val="15550012"/>
    <w:rsid w:val="15FD29AD"/>
    <w:rsid w:val="164A7928"/>
    <w:rsid w:val="169D0E72"/>
    <w:rsid w:val="16C861C7"/>
    <w:rsid w:val="17B239EC"/>
    <w:rsid w:val="17F65EFD"/>
    <w:rsid w:val="183163E8"/>
    <w:rsid w:val="186E41CA"/>
    <w:rsid w:val="18D25736"/>
    <w:rsid w:val="18D70F9E"/>
    <w:rsid w:val="192817FA"/>
    <w:rsid w:val="193B777F"/>
    <w:rsid w:val="196842EC"/>
    <w:rsid w:val="19E37D74"/>
    <w:rsid w:val="1A24287A"/>
    <w:rsid w:val="1A6102E8"/>
    <w:rsid w:val="1A820EFF"/>
    <w:rsid w:val="1A967995"/>
    <w:rsid w:val="1B1469DB"/>
    <w:rsid w:val="1B343F40"/>
    <w:rsid w:val="1B3E5305"/>
    <w:rsid w:val="1B5C1C2F"/>
    <w:rsid w:val="1B9E0794"/>
    <w:rsid w:val="1BB56546"/>
    <w:rsid w:val="1C0307A7"/>
    <w:rsid w:val="1C3D736A"/>
    <w:rsid w:val="1C7A05BE"/>
    <w:rsid w:val="1CD33428"/>
    <w:rsid w:val="1CFE5660"/>
    <w:rsid w:val="1D1D467D"/>
    <w:rsid w:val="1D1F2F14"/>
    <w:rsid w:val="1D4F1B5C"/>
    <w:rsid w:val="1D7506A5"/>
    <w:rsid w:val="1D886D0B"/>
    <w:rsid w:val="1DB33259"/>
    <w:rsid w:val="1DC46673"/>
    <w:rsid w:val="1E1255FD"/>
    <w:rsid w:val="1E2702D2"/>
    <w:rsid w:val="1E3D18A3"/>
    <w:rsid w:val="1E611C34"/>
    <w:rsid w:val="1E76478F"/>
    <w:rsid w:val="1EBC3110"/>
    <w:rsid w:val="1F2D2804"/>
    <w:rsid w:val="1F2F3B86"/>
    <w:rsid w:val="1F3F164B"/>
    <w:rsid w:val="20A166A9"/>
    <w:rsid w:val="20F5069F"/>
    <w:rsid w:val="211C463E"/>
    <w:rsid w:val="21967F35"/>
    <w:rsid w:val="21A4196E"/>
    <w:rsid w:val="21E46E41"/>
    <w:rsid w:val="21F030D1"/>
    <w:rsid w:val="22086A52"/>
    <w:rsid w:val="22370D00"/>
    <w:rsid w:val="22487672"/>
    <w:rsid w:val="225D56AD"/>
    <w:rsid w:val="227B10FD"/>
    <w:rsid w:val="22A76D6C"/>
    <w:rsid w:val="22FA1F5A"/>
    <w:rsid w:val="232D291D"/>
    <w:rsid w:val="237A7227"/>
    <w:rsid w:val="24030E99"/>
    <w:rsid w:val="244341C8"/>
    <w:rsid w:val="244A6F72"/>
    <w:rsid w:val="246D6C5B"/>
    <w:rsid w:val="24701AD6"/>
    <w:rsid w:val="24950BB3"/>
    <w:rsid w:val="24DE608A"/>
    <w:rsid w:val="24F9759D"/>
    <w:rsid w:val="25006AC9"/>
    <w:rsid w:val="25187283"/>
    <w:rsid w:val="25707C34"/>
    <w:rsid w:val="25AA4109"/>
    <w:rsid w:val="25F77C70"/>
    <w:rsid w:val="26412BA4"/>
    <w:rsid w:val="26B53104"/>
    <w:rsid w:val="26D226B1"/>
    <w:rsid w:val="26DE43C7"/>
    <w:rsid w:val="2720158F"/>
    <w:rsid w:val="27315D1D"/>
    <w:rsid w:val="2740697A"/>
    <w:rsid w:val="27490A16"/>
    <w:rsid w:val="27703526"/>
    <w:rsid w:val="27936A2D"/>
    <w:rsid w:val="27AC5CEC"/>
    <w:rsid w:val="27C316B0"/>
    <w:rsid w:val="2802376E"/>
    <w:rsid w:val="28D044A3"/>
    <w:rsid w:val="291458F7"/>
    <w:rsid w:val="29181128"/>
    <w:rsid w:val="292D32CD"/>
    <w:rsid w:val="29476605"/>
    <w:rsid w:val="29483920"/>
    <w:rsid w:val="294F4B81"/>
    <w:rsid w:val="298D61A9"/>
    <w:rsid w:val="29AC08FD"/>
    <w:rsid w:val="29B34902"/>
    <w:rsid w:val="2A4867D3"/>
    <w:rsid w:val="2A913B6F"/>
    <w:rsid w:val="2B3109E2"/>
    <w:rsid w:val="2B6465B8"/>
    <w:rsid w:val="2B717988"/>
    <w:rsid w:val="2BA63403"/>
    <w:rsid w:val="2BC90BE4"/>
    <w:rsid w:val="2C824E57"/>
    <w:rsid w:val="2CBF5B79"/>
    <w:rsid w:val="2D6D5483"/>
    <w:rsid w:val="2DBB50D8"/>
    <w:rsid w:val="2DC451DB"/>
    <w:rsid w:val="2DF02EE2"/>
    <w:rsid w:val="2DFB52D7"/>
    <w:rsid w:val="2EA51BF9"/>
    <w:rsid w:val="2EBA3D06"/>
    <w:rsid w:val="2EE6563F"/>
    <w:rsid w:val="2EEE0998"/>
    <w:rsid w:val="2F0F2DE8"/>
    <w:rsid w:val="2F397E65"/>
    <w:rsid w:val="2FB03F14"/>
    <w:rsid w:val="3083668C"/>
    <w:rsid w:val="309A0DD7"/>
    <w:rsid w:val="30A6271F"/>
    <w:rsid w:val="30C84E70"/>
    <w:rsid w:val="313E5620"/>
    <w:rsid w:val="31491D1F"/>
    <w:rsid w:val="31B77A8D"/>
    <w:rsid w:val="31DD04C4"/>
    <w:rsid w:val="31FF6F86"/>
    <w:rsid w:val="323963CE"/>
    <w:rsid w:val="324C3E11"/>
    <w:rsid w:val="329F041D"/>
    <w:rsid w:val="32E6629F"/>
    <w:rsid w:val="331A7713"/>
    <w:rsid w:val="33875514"/>
    <w:rsid w:val="338C7FA3"/>
    <w:rsid w:val="33A04162"/>
    <w:rsid w:val="33F24A86"/>
    <w:rsid w:val="34142C4F"/>
    <w:rsid w:val="34190265"/>
    <w:rsid w:val="345179FF"/>
    <w:rsid w:val="34927B3D"/>
    <w:rsid w:val="349F5B4F"/>
    <w:rsid w:val="35044A71"/>
    <w:rsid w:val="356C4A5C"/>
    <w:rsid w:val="35B5220F"/>
    <w:rsid w:val="35C71713"/>
    <w:rsid w:val="35FD09F2"/>
    <w:rsid w:val="36381C8C"/>
    <w:rsid w:val="364C3AA7"/>
    <w:rsid w:val="367E466B"/>
    <w:rsid w:val="369B31B3"/>
    <w:rsid w:val="369E0472"/>
    <w:rsid w:val="36A42B10"/>
    <w:rsid w:val="370F142E"/>
    <w:rsid w:val="372447CD"/>
    <w:rsid w:val="37285401"/>
    <w:rsid w:val="3792460F"/>
    <w:rsid w:val="37AD7398"/>
    <w:rsid w:val="38602906"/>
    <w:rsid w:val="388D2FD0"/>
    <w:rsid w:val="38D658A4"/>
    <w:rsid w:val="396E2E01"/>
    <w:rsid w:val="397877DC"/>
    <w:rsid w:val="3A7C154E"/>
    <w:rsid w:val="3A960701"/>
    <w:rsid w:val="3ACD1CF3"/>
    <w:rsid w:val="3AE158FD"/>
    <w:rsid w:val="3AFE01B5"/>
    <w:rsid w:val="3B05549E"/>
    <w:rsid w:val="3B4B53B7"/>
    <w:rsid w:val="3B5B266B"/>
    <w:rsid w:val="3B7566C9"/>
    <w:rsid w:val="3BA63E41"/>
    <w:rsid w:val="3BB01DD4"/>
    <w:rsid w:val="3BB75CCA"/>
    <w:rsid w:val="3BF01DB6"/>
    <w:rsid w:val="3C045E42"/>
    <w:rsid w:val="3C964B49"/>
    <w:rsid w:val="3CB07A7C"/>
    <w:rsid w:val="3CD92C87"/>
    <w:rsid w:val="3CD967E3"/>
    <w:rsid w:val="3CE00BDF"/>
    <w:rsid w:val="3D0B5373"/>
    <w:rsid w:val="3D6C76C2"/>
    <w:rsid w:val="3DBD7EB3"/>
    <w:rsid w:val="3DE42DD2"/>
    <w:rsid w:val="3E1F291C"/>
    <w:rsid w:val="3E291AE7"/>
    <w:rsid w:val="3EA91721"/>
    <w:rsid w:val="3ECF20E9"/>
    <w:rsid w:val="3EF20710"/>
    <w:rsid w:val="3F3F3E11"/>
    <w:rsid w:val="3F826AEF"/>
    <w:rsid w:val="3FDF05B5"/>
    <w:rsid w:val="3FDF3B97"/>
    <w:rsid w:val="400F1993"/>
    <w:rsid w:val="40722D28"/>
    <w:rsid w:val="40924F29"/>
    <w:rsid w:val="40CE307C"/>
    <w:rsid w:val="40F9370F"/>
    <w:rsid w:val="410212C3"/>
    <w:rsid w:val="410D2F00"/>
    <w:rsid w:val="41116A7A"/>
    <w:rsid w:val="4161705E"/>
    <w:rsid w:val="41A07EF7"/>
    <w:rsid w:val="41B631F1"/>
    <w:rsid w:val="42134546"/>
    <w:rsid w:val="421A155E"/>
    <w:rsid w:val="42705771"/>
    <w:rsid w:val="42D50F53"/>
    <w:rsid w:val="42E802D1"/>
    <w:rsid w:val="433D44BC"/>
    <w:rsid w:val="43707496"/>
    <w:rsid w:val="439438AA"/>
    <w:rsid w:val="44573356"/>
    <w:rsid w:val="44616288"/>
    <w:rsid w:val="446A56F6"/>
    <w:rsid w:val="44765180"/>
    <w:rsid w:val="44BA748E"/>
    <w:rsid w:val="44D77AAC"/>
    <w:rsid w:val="44E93C84"/>
    <w:rsid w:val="45006C99"/>
    <w:rsid w:val="451649D3"/>
    <w:rsid w:val="45400C51"/>
    <w:rsid w:val="45523329"/>
    <w:rsid w:val="45762C53"/>
    <w:rsid w:val="45877724"/>
    <w:rsid w:val="45BC6CA2"/>
    <w:rsid w:val="45CD6E1B"/>
    <w:rsid w:val="461C598E"/>
    <w:rsid w:val="462D1DD6"/>
    <w:rsid w:val="464473C4"/>
    <w:rsid w:val="46C941D3"/>
    <w:rsid w:val="46F04E55"/>
    <w:rsid w:val="46F8622F"/>
    <w:rsid w:val="47974E3E"/>
    <w:rsid w:val="47AD6AB5"/>
    <w:rsid w:val="47EC26AC"/>
    <w:rsid w:val="480F61E7"/>
    <w:rsid w:val="481B05F8"/>
    <w:rsid w:val="48697B8D"/>
    <w:rsid w:val="489A7618"/>
    <w:rsid w:val="48AA023D"/>
    <w:rsid w:val="48AA360B"/>
    <w:rsid w:val="490E2B95"/>
    <w:rsid w:val="49322155"/>
    <w:rsid w:val="49551034"/>
    <w:rsid w:val="496D09DF"/>
    <w:rsid w:val="4974067A"/>
    <w:rsid w:val="49822AB2"/>
    <w:rsid w:val="49E3612E"/>
    <w:rsid w:val="4A2938AF"/>
    <w:rsid w:val="4A6036AC"/>
    <w:rsid w:val="4B131796"/>
    <w:rsid w:val="4B45785C"/>
    <w:rsid w:val="4BCD46D1"/>
    <w:rsid w:val="4BD923D5"/>
    <w:rsid w:val="4BF71792"/>
    <w:rsid w:val="4C29643C"/>
    <w:rsid w:val="4C365A00"/>
    <w:rsid w:val="4C7D3F69"/>
    <w:rsid w:val="4C8811DC"/>
    <w:rsid w:val="4C982FA6"/>
    <w:rsid w:val="4CBE409E"/>
    <w:rsid w:val="4CDE5B3F"/>
    <w:rsid w:val="4CF60CEC"/>
    <w:rsid w:val="4CFE0DAA"/>
    <w:rsid w:val="4D64034B"/>
    <w:rsid w:val="4E133497"/>
    <w:rsid w:val="4E943B74"/>
    <w:rsid w:val="4EC73AB4"/>
    <w:rsid w:val="4EE03F38"/>
    <w:rsid w:val="4EE32E0D"/>
    <w:rsid w:val="4F165055"/>
    <w:rsid w:val="4F3C085A"/>
    <w:rsid w:val="4F525755"/>
    <w:rsid w:val="4F881041"/>
    <w:rsid w:val="4FCB6460"/>
    <w:rsid w:val="4FD503D6"/>
    <w:rsid w:val="4FEC1657"/>
    <w:rsid w:val="50111814"/>
    <w:rsid w:val="508A2D1F"/>
    <w:rsid w:val="50960F75"/>
    <w:rsid w:val="510354C0"/>
    <w:rsid w:val="51266941"/>
    <w:rsid w:val="512D432B"/>
    <w:rsid w:val="51422503"/>
    <w:rsid w:val="514334AC"/>
    <w:rsid w:val="516A7EFA"/>
    <w:rsid w:val="51D27F79"/>
    <w:rsid w:val="51E90E1F"/>
    <w:rsid w:val="51F02583"/>
    <w:rsid w:val="521F2A93"/>
    <w:rsid w:val="524C57D3"/>
    <w:rsid w:val="5254412B"/>
    <w:rsid w:val="527821A3"/>
    <w:rsid w:val="52976ACD"/>
    <w:rsid w:val="52E240A2"/>
    <w:rsid w:val="53095C1D"/>
    <w:rsid w:val="53F4218E"/>
    <w:rsid w:val="541D21E1"/>
    <w:rsid w:val="5422175A"/>
    <w:rsid w:val="54880DC3"/>
    <w:rsid w:val="548F2DD2"/>
    <w:rsid w:val="55860012"/>
    <w:rsid w:val="55EC57C9"/>
    <w:rsid w:val="55EF1045"/>
    <w:rsid w:val="561479CA"/>
    <w:rsid w:val="561A53CF"/>
    <w:rsid w:val="569E6823"/>
    <w:rsid w:val="56BD06DA"/>
    <w:rsid w:val="56F757D5"/>
    <w:rsid w:val="57800D02"/>
    <w:rsid w:val="57892819"/>
    <w:rsid w:val="57995112"/>
    <w:rsid w:val="5889335C"/>
    <w:rsid w:val="591F781C"/>
    <w:rsid w:val="59406483"/>
    <w:rsid w:val="59462FFB"/>
    <w:rsid w:val="59723DF0"/>
    <w:rsid w:val="59780150"/>
    <w:rsid w:val="59810274"/>
    <w:rsid w:val="599F33E8"/>
    <w:rsid w:val="59D7056A"/>
    <w:rsid w:val="5AB83A84"/>
    <w:rsid w:val="5B4F43E9"/>
    <w:rsid w:val="5B913692"/>
    <w:rsid w:val="5BB22BCA"/>
    <w:rsid w:val="5BB623FB"/>
    <w:rsid w:val="5BD77A5F"/>
    <w:rsid w:val="5C291D66"/>
    <w:rsid w:val="5C3E4662"/>
    <w:rsid w:val="5C78171D"/>
    <w:rsid w:val="5CB83AFF"/>
    <w:rsid w:val="5CBD1784"/>
    <w:rsid w:val="5CC55C89"/>
    <w:rsid w:val="5D4930BA"/>
    <w:rsid w:val="5D605C20"/>
    <w:rsid w:val="5DE77C54"/>
    <w:rsid w:val="5E1E7F08"/>
    <w:rsid w:val="5E2002BE"/>
    <w:rsid w:val="5E2814C4"/>
    <w:rsid w:val="5E2D4789"/>
    <w:rsid w:val="5E3E7098"/>
    <w:rsid w:val="5EEF58E3"/>
    <w:rsid w:val="5FBC7B73"/>
    <w:rsid w:val="5FCB6008"/>
    <w:rsid w:val="604D1D7F"/>
    <w:rsid w:val="607466A0"/>
    <w:rsid w:val="60FF0125"/>
    <w:rsid w:val="61181721"/>
    <w:rsid w:val="611E21D0"/>
    <w:rsid w:val="61D95DC8"/>
    <w:rsid w:val="6252656D"/>
    <w:rsid w:val="631321A0"/>
    <w:rsid w:val="6319499D"/>
    <w:rsid w:val="632D08AA"/>
    <w:rsid w:val="63FD075A"/>
    <w:rsid w:val="64296BC1"/>
    <w:rsid w:val="642C5DB8"/>
    <w:rsid w:val="643A2D30"/>
    <w:rsid w:val="64710F6A"/>
    <w:rsid w:val="64B81251"/>
    <w:rsid w:val="64E57B6C"/>
    <w:rsid w:val="657207CC"/>
    <w:rsid w:val="657E5258"/>
    <w:rsid w:val="65831CEB"/>
    <w:rsid w:val="65C64A1B"/>
    <w:rsid w:val="65E6519A"/>
    <w:rsid w:val="6609708B"/>
    <w:rsid w:val="660E4EA0"/>
    <w:rsid w:val="66170870"/>
    <w:rsid w:val="663448C8"/>
    <w:rsid w:val="669C2982"/>
    <w:rsid w:val="66F17E1D"/>
    <w:rsid w:val="67F51E74"/>
    <w:rsid w:val="68711289"/>
    <w:rsid w:val="690A6789"/>
    <w:rsid w:val="690C05C4"/>
    <w:rsid w:val="695B21AB"/>
    <w:rsid w:val="69647C90"/>
    <w:rsid w:val="69BD2E65"/>
    <w:rsid w:val="6A153C7B"/>
    <w:rsid w:val="6AB13CDE"/>
    <w:rsid w:val="6AEC43C5"/>
    <w:rsid w:val="6AFE1987"/>
    <w:rsid w:val="6B307930"/>
    <w:rsid w:val="6B3B0F4D"/>
    <w:rsid w:val="6B4710B4"/>
    <w:rsid w:val="6B7834E8"/>
    <w:rsid w:val="6B873A2A"/>
    <w:rsid w:val="6BAF4CF8"/>
    <w:rsid w:val="6BB22DB2"/>
    <w:rsid w:val="6C123947"/>
    <w:rsid w:val="6C336341"/>
    <w:rsid w:val="6C53360D"/>
    <w:rsid w:val="6CBA7B30"/>
    <w:rsid w:val="6CBC6CEF"/>
    <w:rsid w:val="6D0D4104"/>
    <w:rsid w:val="6D152C74"/>
    <w:rsid w:val="6D303400"/>
    <w:rsid w:val="6D8C0C6D"/>
    <w:rsid w:val="6D8D08CA"/>
    <w:rsid w:val="6DCE36A0"/>
    <w:rsid w:val="6DFB3F2D"/>
    <w:rsid w:val="6E3D33F0"/>
    <w:rsid w:val="6E98552F"/>
    <w:rsid w:val="6E9A4914"/>
    <w:rsid w:val="6EDA6267"/>
    <w:rsid w:val="6EDE4AE6"/>
    <w:rsid w:val="6F3E5B04"/>
    <w:rsid w:val="6F40431D"/>
    <w:rsid w:val="6F5146BC"/>
    <w:rsid w:val="70122D7A"/>
    <w:rsid w:val="70DB0321"/>
    <w:rsid w:val="711A46AC"/>
    <w:rsid w:val="716C6537"/>
    <w:rsid w:val="71902C0D"/>
    <w:rsid w:val="71E05208"/>
    <w:rsid w:val="71E31F24"/>
    <w:rsid w:val="72444124"/>
    <w:rsid w:val="72844381"/>
    <w:rsid w:val="7309711B"/>
    <w:rsid w:val="73184A50"/>
    <w:rsid w:val="731F294C"/>
    <w:rsid w:val="73227401"/>
    <w:rsid w:val="736C6F37"/>
    <w:rsid w:val="739610B1"/>
    <w:rsid w:val="739E4350"/>
    <w:rsid w:val="73BC5E5C"/>
    <w:rsid w:val="742A559B"/>
    <w:rsid w:val="7458434F"/>
    <w:rsid w:val="74AE7F7A"/>
    <w:rsid w:val="74EF0832"/>
    <w:rsid w:val="75287D2D"/>
    <w:rsid w:val="758119CC"/>
    <w:rsid w:val="75E83018"/>
    <w:rsid w:val="760017E0"/>
    <w:rsid w:val="76607255"/>
    <w:rsid w:val="766F0171"/>
    <w:rsid w:val="767B61D8"/>
    <w:rsid w:val="76F53C3E"/>
    <w:rsid w:val="7715608F"/>
    <w:rsid w:val="773B0E59"/>
    <w:rsid w:val="77A94A29"/>
    <w:rsid w:val="77BD3EA4"/>
    <w:rsid w:val="77F87FAA"/>
    <w:rsid w:val="78323566"/>
    <w:rsid w:val="7866291A"/>
    <w:rsid w:val="7874624B"/>
    <w:rsid w:val="788A03B6"/>
    <w:rsid w:val="78B47B29"/>
    <w:rsid w:val="78D248C7"/>
    <w:rsid w:val="795A2F31"/>
    <w:rsid w:val="79B703F4"/>
    <w:rsid w:val="79C8388C"/>
    <w:rsid w:val="79D275A1"/>
    <w:rsid w:val="79FF2949"/>
    <w:rsid w:val="7A2B624E"/>
    <w:rsid w:val="7A5769ED"/>
    <w:rsid w:val="7A6717CD"/>
    <w:rsid w:val="7A847D73"/>
    <w:rsid w:val="7A9A3AF1"/>
    <w:rsid w:val="7B0C77A9"/>
    <w:rsid w:val="7B4E1B6F"/>
    <w:rsid w:val="7B6924E7"/>
    <w:rsid w:val="7B8E43B1"/>
    <w:rsid w:val="7BB3446E"/>
    <w:rsid w:val="7BC77B74"/>
    <w:rsid w:val="7BE52303"/>
    <w:rsid w:val="7C423BC4"/>
    <w:rsid w:val="7D1312C2"/>
    <w:rsid w:val="7D303681"/>
    <w:rsid w:val="7DB76E0E"/>
    <w:rsid w:val="7E163AF1"/>
    <w:rsid w:val="7E3417AE"/>
    <w:rsid w:val="7E687F2D"/>
    <w:rsid w:val="7EE75EBC"/>
    <w:rsid w:val="7F4660B7"/>
    <w:rsid w:val="7F792F33"/>
    <w:rsid w:val="7F84118C"/>
    <w:rsid w:val="7F8F54AC"/>
    <w:rsid w:val="7FF2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5"/>
    <w:autoRedefine/>
    <w:qFormat/>
    <w:uiPriority w:val="0"/>
  </w:style>
  <w:style w:type="paragraph" w:styleId="3">
    <w:name w:val="Body Text"/>
    <w:basedOn w:val="1"/>
    <w:autoRedefine/>
    <w:qFormat/>
    <w:uiPriority w:val="1"/>
    <w:rPr>
      <w:rFonts w:ascii="黑体" w:hAnsi="黑体" w:eastAsia="黑体" w:cs="黑体"/>
      <w:sz w:val="30"/>
      <w:szCs w:val="30"/>
    </w:rPr>
  </w:style>
  <w:style w:type="paragraph" w:styleId="4">
    <w:name w:val="Body Text Indent"/>
    <w:basedOn w:val="1"/>
    <w:autoRedefine/>
    <w:qFormat/>
    <w:uiPriority w:val="0"/>
    <w:pPr>
      <w:ind w:left="720"/>
      <w:jc w:val="both"/>
    </w:pPr>
    <w:rPr>
      <w:rFonts w:ascii="AGaramond" w:hAnsi="AGaramond"/>
      <w:i/>
      <w:iCs/>
      <w:color w:val="FF0000"/>
      <w:szCs w:val="20"/>
    </w:rPr>
  </w:style>
  <w:style w:type="paragraph" w:styleId="5">
    <w:name w:val="Balloon Text"/>
    <w:basedOn w:val="1"/>
    <w:link w:val="114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8">
    <w:name w:val="Body Text 2"/>
    <w:basedOn w:val="1"/>
    <w:autoRedefine/>
    <w:qFormat/>
    <w:uiPriority w:val="0"/>
    <w:pPr>
      <w:jc w:val="both"/>
    </w:pPr>
    <w:rPr>
      <w:rFonts w:ascii="Garamond" w:hAnsi="Garamond"/>
      <w:b/>
      <w:szCs w:val="20"/>
    </w:rPr>
  </w:style>
  <w:style w:type="paragraph" w:styleId="9">
    <w:name w:val="Normal (Web)"/>
    <w:basedOn w:val="1"/>
    <w:autoRedefine/>
    <w:qFormat/>
    <w:uiPriority w:val="0"/>
    <w:pPr>
      <w:spacing w:afterAutospacing="1"/>
    </w:pPr>
    <w:rPr>
      <w:rFonts w:cs="Times New Roman"/>
      <w:sz w:val="24"/>
      <w:lang w:val="en-US" w:bidi="ar-SA"/>
    </w:rPr>
  </w:style>
  <w:style w:type="paragraph" w:styleId="10">
    <w:name w:val="annotation subject"/>
    <w:basedOn w:val="2"/>
    <w:next w:val="2"/>
    <w:link w:val="116"/>
    <w:autoRedefine/>
    <w:qFormat/>
    <w:uiPriority w:val="0"/>
    <w:rPr>
      <w:b/>
      <w:bCs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  <w:bCs/>
    </w:rPr>
  </w:style>
  <w:style w:type="character" w:styleId="15">
    <w:name w:val="FollowedHyperlink"/>
    <w:basedOn w:val="13"/>
    <w:autoRedefine/>
    <w:qFormat/>
    <w:uiPriority w:val="0"/>
    <w:rPr>
      <w:color w:val="007BFF"/>
      <w:u w:val="none"/>
    </w:rPr>
  </w:style>
  <w:style w:type="character" w:styleId="16">
    <w:name w:val="HTML Definition"/>
    <w:basedOn w:val="13"/>
    <w:autoRedefine/>
    <w:qFormat/>
    <w:uiPriority w:val="0"/>
    <w:rPr>
      <w:i/>
      <w:iCs/>
    </w:rPr>
  </w:style>
  <w:style w:type="character" w:styleId="17">
    <w:name w:val="Hyperlink"/>
    <w:basedOn w:val="13"/>
    <w:autoRedefine/>
    <w:qFormat/>
    <w:uiPriority w:val="0"/>
    <w:rPr>
      <w:color w:val="0000FF"/>
      <w:u w:val="single"/>
    </w:rPr>
  </w:style>
  <w:style w:type="character" w:styleId="18">
    <w:name w:val="HTML Code"/>
    <w:basedOn w:val="13"/>
    <w:autoRedefine/>
    <w:qFormat/>
    <w:uiPriority w:val="0"/>
    <w:rPr>
      <w:rFonts w:hint="default" w:ascii="Consolas" w:hAnsi="Consolas" w:eastAsia="Consolas" w:cs="Consolas"/>
      <w:color w:val="BD4147"/>
      <w:sz w:val="21"/>
      <w:szCs w:val="21"/>
      <w:shd w:val="clear" w:color="auto" w:fill="F8F9FA"/>
    </w:rPr>
  </w:style>
  <w:style w:type="character" w:styleId="19">
    <w:name w:val="annotation reference"/>
    <w:basedOn w:val="13"/>
    <w:autoRedefine/>
    <w:qFormat/>
    <w:uiPriority w:val="0"/>
    <w:rPr>
      <w:sz w:val="21"/>
      <w:szCs w:val="21"/>
    </w:rPr>
  </w:style>
  <w:style w:type="character" w:styleId="20">
    <w:name w:val="HTML Keyboard"/>
    <w:basedOn w:val="13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212529"/>
    </w:rPr>
  </w:style>
  <w:style w:type="character" w:styleId="21">
    <w:name w:val="HTML Sample"/>
    <w:basedOn w:val="13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table" w:customStyle="1" w:styleId="2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autoRedefine/>
    <w:qFormat/>
    <w:uiPriority w:val="1"/>
  </w:style>
  <w:style w:type="paragraph" w:customStyle="1" w:styleId="24">
    <w:name w:val="Table Paragraph"/>
    <w:basedOn w:val="1"/>
    <w:autoRedefine/>
    <w:qFormat/>
    <w:uiPriority w:val="1"/>
    <w:pPr>
      <w:ind w:left="40"/>
    </w:pPr>
  </w:style>
  <w:style w:type="paragraph" w:customStyle="1" w:styleId="25">
    <w:name w:val="Other|1"/>
    <w:basedOn w:val="1"/>
    <w:autoRedefine/>
    <w:qFormat/>
    <w:uiPriority w:val="0"/>
    <w:rPr>
      <w:sz w:val="15"/>
      <w:szCs w:val="15"/>
    </w:rPr>
  </w:style>
  <w:style w:type="paragraph" w:customStyle="1" w:styleId="26">
    <w:name w:val="Heading #1|1"/>
    <w:basedOn w:val="1"/>
    <w:autoRedefine/>
    <w:qFormat/>
    <w:uiPriority w:val="0"/>
    <w:pPr>
      <w:spacing w:after="120" w:line="288" w:lineRule="exact"/>
      <w:jc w:val="center"/>
      <w:outlineLvl w:val="0"/>
    </w:pPr>
    <w:rPr>
      <w:sz w:val="17"/>
      <w:szCs w:val="17"/>
      <w:lang w:val="zh-TW" w:eastAsia="zh-TW" w:bidi="zh-TW"/>
    </w:rPr>
  </w:style>
  <w:style w:type="paragraph" w:customStyle="1" w:styleId="27">
    <w:name w:val="Body text|1"/>
    <w:basedOn w:val="1"/>
    <w:autoRedefine/>
    <w:qFormat/>
    <w:uiPriority w:val="0"/>
    <w:pPr>
      <w:spacing w:after="340" w:line="403" w:lineRule="auto"/>
      <w:ind w:firstLine="340"/>
    </w:pPr>
    <w:rPr>
      <w:sz w:val="15"/>
      <w:szCs w:val="15"/>
    </w:rPr>
  </w:style>
  <w:style w:type="character" w:customStyle="1" w:styleId="28">
    <w:name w:val="current"/>
    <w:basedOn w:val="13"/>
    <w:autoRedefine/>
    <w:qFormat/>
    <w:uiPriority w:val="0"/>
    <w:rPr>
      <w:color w:val="FFFFFF"/>
      <w:shd w:val="clear" w:color="auto" w:fill="712F89"/>
    </w:rPr>
  </w:style>
  <w:style w:type="character" w:customStyle="1" w:styleId="29">
    <w:name w:val="current1"/>
    <w:basedOn w:val="13"/>
    <w:autoRedefine/>
    <w:qFormat/>
    <w:uiPriority w:val="0"/>
    <w:rPr>
      <w:color w:val="FFFFFF"/>
      <w:shd w:val="clear" w:color="auto" w:fill="712F89"/>
    </w:rPr>
  </w:style>
  <w:style w:type="character" w:customStyle="1" w:styleId="30">
    <w:name w:val="width-orange"/>
    <w:basedOn w:val="13"/>
    <w:autoRedefine/>
    <w:qFormat/>
    <w:uiPriority w:val="0"/>
  </w:style>
  <w:style w:type="character" w:customStyle="1" w:styleId="31">
    <w:name w:val="layui-layer-tabnow"/>
    <w:basedOn w:val="13"/>
    <w:autoRedefine/>
    <w:qFormat/>
    <w:uiPriority w:val="0"/>
    <w:rPr>
      <w:bdr w:val="single" w:color="CCCCCC" w:sz="6" w:space="0"/>
      <w:shd w:val="clear" w:color="auto" w:fill="FFFFFF"/>
    </w:rPr>
  </w:style>
  <w:style w:type="character" w:customStyle="1" w:styleId="32">
    <w:name w:val="width-gray"/>
    <w:basedOn w:val="13"/>
    <w:autoRedefine/>
    <w:qFormat/>
    <w:uiPriority w:val="0"/>
  </w:style>
  <w:style w:type="character" w:customStyle="1" w:styleId="33">
    <w:name w:val="line-darkblue"/>
    <w:basedOn w:val="13"/>
    <w:autoRedefine/>
    <w:qFormat/>
    <w:uiPriority w:val="0"/>
  </w:style>
  <w:style w:type="character" w:customStyle="1" w:styleId="34">
    <w:name w:val="button"/>
    <w:basedOn w:val="13"/>
    <w:autoRedefine/>
    <w:qFormat/>
    <w:uiPriority w:val="0"/>
  </w:style>
  <w:style w:type="character" w:customStyle="1" w:styleId="35">
    <w:name w:val="button1"/>
    <w:basedOn w:val="13"/>
    <w:autoRedefine/>
    <w:qFormat/>
    <w:uiPriority w:val="0"/>
  </w:style>
  <w:style w:type="character" w:customStyle="1" w:styleId="36">
    <w:name w:val="default-lightgreen"/>
    <w:basedOn w:val="13"/>
    <w:autoRedefine/>
    <w:qFormat/>
    <w:uiPriority w:val="0"/>
  </w:style>
  <w:style w:type="character" w:customStyle="1" w:styleId="37">
    <w:name w:val="width-violet"/>
    <w:basedOn w:val="13"/>
    <w:autoRedefine/>
    <w:qFormat/>
    <w:uiPriority w:val="0"/>
  </w:style>
  <w:style w:type="character" w:customStyle="1" w:styleId="38">
    <w:name w:val="width-maroon"/>
    <w:basedOn w:val="13"/>
    <w:autoRedefine/>
    <w:qFormat/>
    <w:uiPriority w:val="0"/>
  </w:style>
  <w:style w:type="character" w:customStyle="1" w:styleId="39">
    <w:name w:val="line-skyblue"/>
    <w:basedOn w:val="13"/>
    <w:autoRedefine/>
    <w:qFormat/>
    <w:uiPriority w:val="0"/>
  </w:style>
  <w:style w:type="character" w:customStyle="1" w:styleId="40">
    <w:name w:val="newpure-black"/>
    <w:basedOn w:val="13"/>
    <w:autoRedefine/>
    <w:qFormat/>
    <w:uiPriority w:val="0"/>
  </w:style>
  <w:style w:type="character" w:customStyle="1" w:styleId="41">
    <w:name w:val="default-seablue"/>
    <w:basedOn w:val="13"/>
    <w:autoRedefine/>
    <w:qFormat/>
    <w:uiPriority w:val="0"/>
  </w:style>
  <w:style w:type="character" w:customStyle="1" w:styleId="42">
    <w:name w:val="width-blue"/>
    <w:basedOn w:val="13"/>
    <w:autoRedefine/>
    <w:qFormat/>
    <w:uiPriority w:val="0"/>
  </w:style>
  <w:style w:type="character" w:customStyle="1" w:styleId="43">
    <w:name w:val="default-green"/>
    <w:basedOn w:val="13"/>
    <w:autoRedefine/>
    <w:qFormat/>
    <w:uiPriority w:val="0"/>
  </w:style>
  <w:style w:type="character" w:customStyle="1" w:styleId="44">
    <w:name w:val="newpure-darkred"/>
    <w:basedOn w:val="13"/>
    <w:autoRedefine/>
    <w:qFormat/>
    <w:uiPriority w:val="0"/>
  </w:style>
  <w:style w:type="character" w:customStyle="1" w:styleId="45">
    <w:name w:val="first"/>
    <w:basedOn w:val="13"/>
    <w:autoRedefine/>
    <w:qFormat/>
    <w:uiPriority w:val="0"/>
  </w:style>
  <w:style w:type="character" w:customStyle="1" w:styleId="46">
    <w:name w:val="default-indigo"/>
    <w:basedOn w:val="13"/>
    <w:autoRedefine/>
    <w:qFormat/>
    <w:uiPriority w:val="0"/>
  </w:style>
  <w:style w:type="character" w:customStyle="1" w:styleId="47">
    <w:name w:val="newpure-maroon"/>
    <w:basedOn w:val="13"/>
    <w:autoRedefine/>
    <w:qFormat/>
    <w:uiPriority w:val="0"/>
  </w:style>
  <w:style w:type="character" w:customStyle="1" w:styleId="48">
    <w:name w:val="width-purple"/>
    <w:basedOn w:val="13"/>
    <w:autoRedefine/>
    <w:qFormat/>
    <w:uiPriority w:val="0"/>
  </w:style>
  <w:style w:type="character" w:customStyle="1" w:styleId="49">
    <w:name w:val="width-darkblue"/>
    <w:basedOn w:val="13"/>
    <w:autoRedefine/>
    <w:qFormat/>
    <w:uiPriority w:val="0"/>
  </w:style>
  <w:style w:type="character" w:customStyle="1" w:styleId="50">
    <w:name w:val="line-orange"/>
    <w:basedOn w:val="13"/>
    <w:autoRedefine/>
    <w:qFormat/>
    <w:uiPriority w:val="0"/>
  </w:style>
  <w:style w:type="character" w:customStyle="1" w:styleId="51">
    <w:name w:val="line-darkred"/>
    <w:basedOn w:val="13"/>
    <w:autoRedefine/>
    <w:qFormat/>
    <w:uiPriority w:val="0"/>
  </w:style>
  <w:style w:type="character" w:customStyle="1" w:styleId="52">
    <w:name w:val="default-red"/>
    <w:basedOn w:val="13"/>
    <w:autoRedefine/>
    <w:qFormat/>
    <w:uiPriority w:val="0"/>
  </w:style>
  <w:style w:type="character" w:customStyle="1" w:styleId="53">
    <w:name w:val="line-gray"/>
    <w:basedOn w:val="13"/>
    <w:autoRedefine/>
    <w:qFormat/>
    <w:uiPriority w:val="0"/>
  </w:style>
  <w:style w:type="character" w:customStyle="1" w:styleId="54">
    <w:name w:val="width-cyan"/>
    <w:basedOn w:val="13"/>
    <w:autoRedefine/>
    <w:qFormat/>
    <w:uiPriority w:val="0"/>
  </w:style>
  <w:style w:type="character" w:customStyle="1" w:styleId="55">
    <w:name w:val="default-pink"/>
    <w:basedOn w:val="13"/>
    <w:autoRedefine/>
    <w:qFormat/>
    <w:uiPriority w:val="0"/>
  </w:style>
  <w:style w:type="character" w:customStyle="1" w:styleId="56">
    <w:name w:val="newpure-darkblue"/>
    <w:basedOn w:val="13"/>
    <w:autoRedefine/>
    <w:qFormat/>
    <w:uiPriority w:val="0"/>
  </w:style>
  <w:style w:type="character" w:customStyle="1" w:styleId="57">
    <w:name w:val="newpure-pink"/>
    <w:basedOn w:val="13"/>
    <w:autoRedefine/>
    <w:qFormat/>
    <w:uiPriority w:val="0"/>
  </w:style>
  <w:style w:type="character" w:customStyle="1" w:styleId="58">
    <w:name w:val="line-green"/>
    <w:basedOn w:val="13"/>
    <w:autoRedefine/>
    <w:qFormat/>
    <w:uiPriority w:val="0"/>
  </w:style>
  <w:style w:type="character" w:customStyle="1" w:styleId="59">
    <w:name w:val="target_fixed"/>
    <w:basedOn w:val="13"/>
    <w:autoRedefine/>
    <w:qFormat/>
    <w:uiPriority w:val="0"/>
  </w:style>
  <w:style w:type="character" w:customStyle="1" w:styleId="60">
    <w:name w:val="default-blue"/>
    <w:basedOn w:val="13"/>
    <w:autoRedefine/>
    <w:qFormat/>
    <w:uiPriority w:val="0"/>
  </w:style>
  <w:style w:type="character" w:customStyle="1" w:styleId="61">
    <w:name w:val="newpure-brown"/>
    <w:basedOn w:val="13"/>
    <w:autoRedefine/>
    <w:qFormat/>
    <w:uiPriority w:val="0"/>
  </w:style>
  <w:style w:type="character" w:customStyle="1" w:styleId="62">
    <w:name w:val="width-skyblue"/>
    <w:basedOn w:val="13"/>
    <w:autoRedefine/>
    <w:qFormat/>
    <w:uiPriority w:val="0"/>
  </w:style>
  <w:style w:type="character" w:customStyle="1" w:styleId="63">
    <w:name w:val="on"/>
    <w:basedOn w:val="13"/>
    <w:autoRedefine/>
    <w:qFormat/>
    <w:uiPriority w:val="0"/>
    <w:rPr>
      <w:shd w:val="clear" w:color="auto" w:fill="EDEDED"/>
    </w:rPr>
  </w:style>
  <w:style w:type="character" w:customStyle="1" w:styleId="64">
    <w:name w:val="on1"/>
    <w:basedOn w:val="13"/>
    <w:autoRedefine/>
    <w:qFormat/>
    <w:uiPriority w:val="0"/>
    <w:rPr>
      <w:vanish/>
      <w:shd w:val="clear" w:color="auto" w:fill="FFFFFF"/>
    </w:rPr>
  </w:style>
  <w:style w:type="character" w:customStyle="1" w:styleId="65">
    <w:name w:val="line-violet"/>
    <w:basedOn w:val="13"/>
    <w:autoRedefine/>
    <w:qFormat/>
    <w:uiPriority w:val="0"/>
  </w:style>
  <w:style w:type="character" w:customStyle="1" w:styleId="66">
    <w:name w:val="width-lightgreen"/>
    <w:basedOn w:val="13"/>
    <w:autoRedefine/>
    <w:qFormat/>
    <w:uiPriority w:val="0"/>
  </w:style>
  <w:style w:type="character" w:customStyle="1" w:styleId="67">
    <w:name w:val="newpure-cyan"/>
    <w:basedOn w:val="13"/>
    <w:autoRedefine/>
    <w:qFormat/>
    <w:uiPriority w:val="0"/>
  </w:style>
  <w:style w:type="character" w:customStyle="1" w:styleId="68">
    <w:name w:val="width-red"/>
    <w:basedOn w:val="13"/>
    <w:autoRedefine/>
    <w:qFormat/>
    <w:uiPriority w:val="0"/>
  </w:style>
  <w:style w:type="character" w:customStyle="1" w:styleId="69">
    <w:name w:val="line-brown"/>
    <w:basedOn w:val="13"/>
    <w:autoRedefine/>
    <w:qFormat/>
    <w:uiPriority w:val="0"/>
  </w:style>
  <w:style w:type="character" w:customStyle="1" w:styleId="70">
    <w:name w:val="newpure-red"/>
    <w:basedOn w:val="13"/>
    <w:autoRedefine/>
    <w:qFormat/>
    <w:uiPriority w:val="0"/>
  </w:style>
  <w:style w:type="character" w:customStyle="1" w:styleId="71">
    <w:name w:val="default-purple"/>
    <w:basedOn w:val="13"/>
    <w:autoRedefine/>
    <w:qFormat/>
    <w:uiPriority w:val="0"/>
  </w:style>
  <w:style w:type="character" w:customStyle="1" w:styleId="72">
    <w:name w:val="width-indigo"/>
    <w:basedOn w:val="13"/>
    <w:autoRedefine/>
    <w:qFormat/>
    <w:uiPriority w:val="0"/>
  </w:style>
  <w:style w:type="character" w:customStyle="1" w:styleId="73">
    <w:name w:val="newpure-purple"/>
    <w:basedOn w:val="13"/>
    <w:autoRedefine/>
    <w:qFormat/>
    <w:uiPriority w:val="0"/>
  </w:style>
  <w:style w:type="character" w:customStyle="1" w:styleId="74">
    <w:name w:val="default-black"/>
    <w:basedOn w:val="13"/>
    <w:autoRedefine/>
    <w:qFormat/>
    <w:uiPriority w:val="0"/>
  </w:style>
  <w:style w:type="character" w:customStyle="1" w:styleId="75">
    <w:name w:val="newpure-orange"/>
    <w:basedOn w:val="13"/>
    <w:autoRedefine/>
    <w:qFormat/>
    <w:uiPriority w:val="0"/>
  </w:style>
  <w:style w:type="character" w:customStyle="1" w:styleId="76">
    <w:name w:val="line-seablue"/>
    <w:basedOn w:val="13"/>
    <w:autoRedefine/>
    <w:qFormat/>
    <w:uiPriority w:val="0"/>
  </w:style>
  <w:style w:type="character" w:customStyle="1" w:styleId="77">
    <w:name w:val="default-cyan"/>
    <w:basedOn w:val="13"/>
    <w:autoRedefine/>
    <w:qFormat/>
    <w:uiPriority w:val="0"/>
  </w:style>
  <w:style w:type="character" w:customStyle="1" w:styleId="78">
    <w:name w:val="default-skyblue"/>
    <w:basedOn w:val="13"/>
    <w:autoRedefine/>
    <w:qFormat/>
    <w:uiPriority w:val="0"/>
  </w:style>
  <w:style w:type="character" w:customStyle="1" w:styleId="79">
    <w:name w:val="line-lightgreen"/>
    <w:basedOn w:val="13"/>
    <w:autoRedefine/>
    <w:qFormat/>
    <w:uiPriority w:val="0"/>
  </w:style>
  <w:style w:type="character" w:customStyle="1" w:styleId="80">
    <w:name w:val="tmpztreemove_arrow"/>
    <w:basedOn w:val="13"/>
    <w:autoRedefine/>
    <w:qFormat/>
    <w:uiPriority w:val="0"/>
  </w:style>
  <w:style w:type="character" w:customStyle="1" w:styleId="81">
    <w:name w:val="width-darkred"/>
    <w:basedOn w:val="13"/>
    <w:autoRedefine/>
    <w:qFormat/>
    <w:uiPriority w:val="0"/>
  </w:style>
  <w:style w:type="character" w:customStyle="1" w:styleId="82">
    <w:name w:val="default-darkred"/>
    <w:basedOn w:val="13"/>
    <w:autoRedefine/>
    <w:qFormat/>
    <w:uiPriority w:val="0"/>
  </w:style>
  <w:style w:type="character" w:customStyle="1" w:styleId="83">
    <w:name w:val="width-black"/>
    <w:basedOn w:val="13"/>
    <w:autoRedefine/>
    <w:qFormat/>
    <w:uiPriority w:val="0"/>
  </w:style>
  <w:style w:type="character" w:customStyle="1" w:styleId="84">
    <w:name w:val="width-pink"/>
    <w:basedOn w:val="13"/>
    <w:autoRedefine/>
    <w:qFormat/>
    <w:uiPriority w:val="0"/>
  </w:style>
  <w:style w:type="character" w:customStyle="1" w:styleId="85">
    <w:name w:val="default-orange"/>
    <w:basedOn w:val="13"/>
    <w:autoRedefine/>
    <w:qFormat/>
    <w:uiPriority w:val="0"/>
  </w:style>
  <w:style w:type="character" w:customStyle="1" w:styleId="86">
    <w:name w:val="newpure-indigo"/>
    <w:basedOn w:val="13"/>
    <w:autoRedefine/>
    <w:qFormat/>
    <w:uiPriority w:val="0"/>
  </w:style>
  <w:style w:type="character" w:customStyle="1" w:styleId="87">
    <w:name w:val="newpure-seablue"/>
    <w:basedOn w:val="13"/>
    <w:autoRedefine/>
    <w:qFormat/>
    <w:uiPriority w:val="0"/>
  </w:style>
  <w:style w:type="character" w:customStyle="1" w:styleId="88">
    <w:name w:val="newpure-gray"/>
    <w:basedOn w:val="13"/>
    <w:autoRedefine/>
    <w:qFormat/>
    <w:uiPriority w:val="0"/>
  </w:style>
  <w:style w:type="character" w:customStyle="1" w:styleId="89">
    <w:name w:val="default-violet"/>
    <w:basedOn w:val="13"/>
    <w:autoRedefine/>
    <w:qFormat/>
    <w:uiPriority w:val="0"/>
  </w:style>
  <w:style w:type="character" w:customStyle="1" w:styleId="90">
    <w:name w:val="default-maroon"/>
    <w:basedOn w:val="13"/>
    <w:autoRedefine/>
    <w:qFormat/>
    <w:uiPriority w:val="0"/>
  </w:style>
  <w:style w:type="character" w:customStyle="1" w:styleId="91">
    <w:name w:val="default-brown"/>
    <w:basedOn w:val="13"/>
    <w:autoRedefine/>
    <w:qFormat/>
    <w:uiPriority w:val="0"/>
  </w:style>
  <w:style w:type="character" w:customStyle="1" w:styleId="92">
    <w:name w:val="line-red"/>
    <w:basedOn w:val="13"/>
    <w:autoRedefine/>
    <w:qFormat/>
    <w:uiPriority w:val="0"/>
  </w:style>
  <w:style w:type="character" w:customStyle="1" w:styleId="93">
    <w:name w:val="default-darkblue"/>
    <w:basedOn w:val="13"/>
    <w:autoRedefine/>
    <w:qFormat/>
    <w:uiPriority w:val="0"/>
  </w:style>
  <w:style w:type="character" w:customStyle="1" w:styleId="94">
    <w:name w:val="default-gray"/>
    <w:basedOn w:val="13"/>
    <w:autoRedefine/>
    <w:qFormat/>
    <w:uiPriority w:val="0"/>
  </w:style>
  <w:style w:type="character" w:customStyle="1" w:styleId="95">
    <w:name w:val="line-blue"/>
    <w:basedOn w:val="13"/>
    <w:autoRedefine/>
    <w:qFormat/>
    <w:uiPriority w:val="0"/>
  </w:style>
  <w:style w:type="character" w:customStyle="1" w:styleId="96">
    <w:name w:val="newpure-green"/>
    <w:basedOn w:val="13"/>
    <w:autoRedefine/>
    <w:qFormat/>
    <w:uiPriority w:val="0"/>
  </w:style>
  <w:style w:type="character" w:customStyle="1" w:styleId="97">
    <w:name w:val="line-pink"/>
    <w:basedOn w:val="13"/>
    <w:autoRedefine/>
    <w:qFormat/>
    <w:uiPriority w:val="0"/>
  </w:style>
  <w:style w:type="character" w:customStyle="1" w:styleId="98">
    <w:name w:val="newpure-violet"/>
    <w:basedOn w:val="13"/>
    <w:autoRedefine/>
    <w:qFormat/>
    <w:uiPriority w:val="0"/>
  </w:style>
  <w:style w:type="character" w:customStyle="1" w:styleId="99">
    <w:name w:val="line-cyan"/>
    <w:basedOn w:val="13"/>
    <w:autoRedefine/>
    <w:qFormat/>
    <w:uiPriority w:val="0"/>
  </w:style>
  <w:style w:type="character" w:customStyle="1" w:styleId="100">
    <w:name w:val="line-purple"/>
    <w:basedOn w:val="13"/>
    <w:autoRedefine/>
    <w:qFormat/>
    <w:uiPriority w:val="0"/>
  </w:style>
  <w:style w:type="character" w:customStyle="1" w:styleId="101">
    <w:name w:val="line-indigo"/>
    <w:basedOn w:val="13"/>
    <w:autoRedefine/>
    <w:qFormat/>
    <w:uiPriority w:val="0"/>
  </w:style>
  <w:style w:type="character" w:customStyle="1" w:styleId="102">
    <w:name w:val="line-maroon"/>
    <w:basedOn w:val="13"/>
    <w:autoRedefine/>
    <w:qFormat/>
    <w:uiPriority w:val="0"/>
  </w:style>
  <w:style w:type="character" w:customStyle="1" w:styleId="103">
    <w:name w:val="width-green"/>
    <w:basedOn w:val="13"/>
    <w:autoRedefine/>
    <w:qFormat/>
    <w:uiPriority w:val="0"/>
  </w:style>
  <w:style w:type="character" w:customStyle="1" w:styleId="104">
    <w:name w:val="line-black"/>
    <w:basedOn w:val="13"/>
    <w:autoRedefine/>
    <w:qFormat/>
    <w:uiPriority w:val="0"/>
  </w:style>
  <w:style w:type="character" w:customStyle="1" w:styleId="105">
    <w:name w:val="newpure-lightgreen"/>
    <w:basedOn w:val="13"/>
    <w:autoRedefine/>
    <w:qFormat/>
    <w:uiPriority w:val="0"/>
  </w:style>
  <w:style w:type="character" w:customStyle="1" w:styleId="106">
    <w:name w:val="newpure-skyblue"/>
    <w:basedOn w:val="13"/>
    <w:autoRedefine/>
    <w:qFormat/>
    <w:uiPriority w:val="0"/>
  </w:style>
  <w:style w:type="character" w:customStyle="1" w:styleId="107">
    <w:name w:val="newpure-blue"/>
    <w:basedOn w:val="13"/>
    <w:autoRedefine/>
    <w:qFormat/>
    <w:uiPriority w:val="0"/>
  </w:style>
  <w:style w:type="character" w:customStyle="1" w:styleId="108">
    <w:name w:val="width-seablue"/>
    <w:basedOn w:val="13"/>
    <w:autoRedefine/>
    <w:qFormat/>
    <w:uiPriority w:val="0"/>
  </w:style>
  <w:style w:type="character" w:customStyle="1" w:styleId="109">
    <w:name w:val="width-brown"/>
    <w:basedOn w:val="13"/>
    <w:autoRedefine/>
    <w:qFormat/>
    <w:uiPriority w:val="0"/>
  </w:style>
  <w:style w:type="character" w:customStyle="1" w:styleId="110">
    <w:name w:val="first-child"/>
    <w:basedOn w:val="13"/>
    <w:autoRedefine/>
    <w:qFormat/>
    <w:uiPriority w:val="0"/>
  </w:style>
  <w:style w:type="character" w:customStyle="1" w:styleId="111">
    <w:name w:val="hover24"/>
    <w:basedOn w:val="13"/>
    <w:autoRedefine/>
    <w:qFormat/>
    <w:uiPriority w:val="0"/>
    <w:rPr>
      <w:sz w:val="21"/>
      <w:szCs w:val="21"/>
    </w:rPr>
  </w:style>
  <w:style w:type="character" w:customStyle="1" w:styleId="112">
    <w:name w:val="hover25"/>
    <w:basedOn w:val="13"/>
    <w:autoRedefine/>
    <w:qFormat/>
    <w:uiPriority w:val="0"/>
    <w:rPr>
      <w:shd w:val="clear" w:color="auto" w:fill="F3F3F3"/>
    </w:rPr>
  </w:style>
  <w:style w:type="character" w:customStyle="1" w:styleId="113">
    <w:name w:val="hover26"/>
    <w:basedOn w:val="13"/>
    <w:autoRedefine/>
    <w:qFormat/>
    <w:uiPriority w:val="0"/>
    <w:rPr>
      <w:shd w:val="clear" w:color="auto" w:fill="F3F3F3"/>
    </w:rPr>
  </w:style>
  <w:style w:type="character" w:customStyle="1" w:styleId="114">
    <w:name w:val="批注框文本 字符"/>
    <w:basedOn w:val="13"/>
    <w:link w:val="5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5">
    <w:name w:val="批注文字 字符"/>
    <w:basedOn w:val="13"/>
    <w:link w:val="2"/>
    <w:autoRedefine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16">
    <w:name w:val="批注主题 字符"/>
    <w:basedOn w:val="115"/>
    <w:link w:val="10"/>
    <w:autoRedefine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paragraph" w:customStyle="1" w:styleId="117">
    <w:name w:val="Revision"/>
    <w:autoRedefine/>
    <w:hidden/>
    <w:semiHidden/>
    <w:qFormat/>
    <w:uiPriority w:val="99"/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BD2202-68CD-427F-8269-4C6F08240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2794</Words>
  <Characters>2927</Characters>
  <Lines>33</Lines>
  <Paragraphs>9</Paragraphs>
  <TotalTime>2</TotalTime>
  <ScaleCrop>false</ScaleCrop>
  <LinksUpToDate>false</LinksUpToDate>
  <CharactersWithSpaces>6065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2021-08-02T08:50:00Z</dcterms:created>
  <dc:creator>netuser</dc:creator>
  <cp:lastModifiedBy>YY</cp:lastModifiedBy>
  <cp:lastPrinted>2022-04-19T09:07:00Z</cp:lastPrinted>
  <dcterms:modified xsi:type="dcterms:W3CDTF">2024-01-10T02:46:33Z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LastSaved">
    <vt:filetime>2021-08-02T00:00:00Z</vt:filetime>
  </property>
  <property fmtid="{D5CDD505-2E9C-101B-9397-08002B2CF9AE}" pid="4" name="KSOProductBuildVer">
    <vt:lpwstr>2052-12.1.0.16120</vt:lpwstr>
  </property>
  <property fmtid="{D5CDD505-2E9C-101B-9397-08002B2CF9AE}" pid="5" name="ICV">
    <vt:lpwstr>6C6B8105594942C5B7275EEBB15D9DC9</vt:lpwstr>
  </property>
</Properties>
</file>