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6B86D">
      <w:pPr>
        <w:jc w:val="center"/>
        <w:rPr>
          <w:rFonts w:hint="eastAsia"/>
          <w:b/>
          <w:bCs/>
          <w:sz w:val="36"/>
          <w:szCs w:val="36"/>
          <w:lang w:eastAsia="zh-Hans"/>
        </w:rPr>
      </w:pPr>
      <w:r>
        <w:rPr>
          <w:rFonts w:hint="eastAsia"/>
          <w:b/>
          <w:bCs/>
          <w:sz w:val="36"/>
          <w:szCs w:val="36"/>
        </w:rPr>
        <w:t>广东省人民医院</w:t>
      </w:r>
      <w:r>
        <w:rPr>
          <w:rFonts w:hint="eastAsia"/>
          <w:b/>
          <w:bCs/>
          <w:sz w:val="36"/>
          <w:szCs w:val="36"/>
          <w:lang w:val="en-US" w:eastAsia="zh-CN"/>
        </w:rPr>
        <w:t>伟伦楼</w:t>
      </w:r>
      <w:r>
        <w:rPr>
          <w:rFonts w:hint="eastAsia"/>
          <w:b/>
          <w:bCs/>
          <w:sz w:val="36"/>
          <w:szCs w:val="36"/>
        </w:rPr>
        <w:t>电话通信系统改造项目</w:t>
      </w:r>
      <w:r>
        <w:rPr>
          <w:rFonts w:hint="eastAsia"/>
          <w:b/>
          <w:bCs/>
          <w:sz w:val="36"/>
          <w:szCs w:val="36"/>
          <w:lang w:eastAsia="zh-Hans"/>
        </w:rPr>
        <w:t>需求</w:t>
      </w:r>
    </w:p>
    <w:p w14:paraId="2580B64B">
      <w:pPr>
        <w:jc w:val="center"/>
        <w:rPr>
          <w:rFonts w:hint="eastAsia"/>
          <w:b/>
          <w:bCs/>
          <w:sz w:val="28"/>
          <w:szCs w:val="28"/>
          <w:lang w:eastAsia="zh-Hans"/>
        </w:rPr>
      </w:pPr>
    </w:p>
    <w:p w14:paraId="5CA4FDC8">
      <w:pPr>
        <w:pStyle w:val="2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项目需求</w:t>
      </w:r>
    </w:p>
    <w:p w14:paraId="46672515">
      <w:pPr>
        <w:pStyle w:val="3"/>
        <w:numPr>
          <w:ilvl w:val="0"/>
          <w:numId w:val="2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安装敷设伟伦楼各楼层的电话主干电缆。</w:t>
      </w:r>
    </w:p>
    <w:p w14:paraId="1C7937F8">
      <w:pPr>
        <w:pStyle w:val="3"/>
        <w:numPr>
          <w:ilvl w:val="0"/>
          <w:numId w:val="2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新建一套光缆传输系统（连接主体楼至伟伦楼通信链路）。</w:t>
      </w:r>
    </w:p>
    <w:p w14:paraId="73B3DA8E">
      <w:pPr>
        <w:pStyle w:val="3"/>
        <w:numPr>
          <w:ilvl w:val="0"/>
          <w:numId w:val="2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安装调试程控交换机远端模块（NEC UG-50）。</w:t>
      </w:r>
    </w:p>
    <w:p w14:paraId="0668D529">
      <w:pPr>
        <w:pStyle w:val="3"/>
        <w:numPr>
          <w:ilvl w:val="0"/>
          <w:numId w:val="2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配合伟伦楼基建施工，同步切换分机线路。</w:t>
      </w:r>
    </w:p>
    <w:p w14:paraId="43C5ADE2"/>
    <w:p w14:paraId="767A6539">
      <w:pPr>
        <w:pStyle w:val="2"/>
        <w:numPr>
          <w:numId w:val="0"/>
        </w:numPr>
        <w:ind w:leftChars="0"/>
        <w:rPr>
          <w:lang w:eastAsia="zh-Hans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  <w:lang w:eastAsia="zh-Hans"/>
        </w:rPr>
        <w:t>系统设备规范及工程验收标准</w:t>
      </w:r>
    </w:p>
    <w:p w14:paraId="31CA6919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《通信线路工程设计规范》YD5102-2010（含强制性条文）；</w:t>
      </w:r>
    </w:p>
    <w:p w14:paraId="79444D0E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《通信线路工程验收规范》YDT5121-2010（含强制性条文）；</w:t>
      </w:r>
    </w:p>
    <w:p w14:paraId="5B02E5BF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《数字程控自动电话交换机技术要求》GB/T15542-1995  </w:t>
      </w:r>
    </w:p>
    <w:p w14:paraId="45B3178F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《数字程控交换机技术要求和测试方法》YD/T 954-1998  </w:t>
      </w:r>
    </w:p>
    <w:p w14:paraId="2DF512CF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《电话自动交换网带内单频脉冲线路信号方式GB3376  》</w:t>
      </w:r>
    </w:p>
    <w:p w14:paraId="66B055D6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《电话自动交换网多频记发器信号方式GB3377  》</w:t>
      </w:r>
    </w:p>
    <w:p w14:paraId="03231AB9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《电话自动交换网用户信号方式》GB3378  </w:t>
      </w:r>
    </w:p>
    <w:p w14:paraId="2552B888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《电话自动交换网铃流和信号音》GB3380  </w:t>
      </w:r>
    </w:p>
    <w:p w14:paraId="4AB9DE15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《数字网内时钟和同步设备的进网要求》GB12048  </w:t>
      </w:r>
    </w:p>
    <w:p w14:paraId="497F0A1C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《自动用户交换机进网要求》YD344-90</w:t>
      </w:r>
    </w:p>
    <w:p w14:paraId="5932567C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《中国国内电话网No.7信号方式技术规范》及补充件1-5GF001-9001  </w:t>
      </w:r>
    </w:p>
    <w:p w14:paraId="099535F6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《中国国内电话网No.1信号方式技术规范》GF002-9002.1  </w:t>
      </w:r>
    </w:p>
    <w:p w14:paraId="0BA434B1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《中国国内电话网七号信令方式测试规范和验收方式（暂行规定）》WBH45-94</w:t>
      </w:r>
    </w:p>
    <w:p w14:paraId="02313498">
      <w:pPr>
        <w:rPr>
          <w:lang w:eastAsia="zh-Hans"/>
        </w:rPr>
      </w:pPr>
      <w:r>
        <w:rPr>
          <w:rFonts w:hint="eastAsia"/>
          <w:lang w:eastAsia="zh-Hans"/>
        </w:rPr>
        <w:t xml:space="preserve"> </w:t>
      </w:r>
      <w:r>
        <w:t>*</w:t>
      </w:r>
      <w:r>
        <w:rPr>
          <w:rFonts w:hint="eastAsia"/>
          <w:lang w:eastAsia="zh-Hans"/>
        </w:rPr>
        <w:t>《电信设备安装抗震设计规范》YD 5059-2005（含强制性条文）；</w:t>
      </w:r>
    </w:p>
    <w:p w14:paraId="3F7A60FC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《通信设备安装抗震设计图集》YD5060-2010（含强制性条文）；</w:t>
      </w:r>
    </w:p>
    <w:p w14:paraId="7805D0C1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《通信工程建设环境保护技术暂行规定》YD5039-2009；</w:t>
      </w:r>
    </w:p>
    <w:p w14:paraId="3BB7ACC9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《建筑施工场界环境噪声排放标准》GB 12523-2011；</w:t>
      </w:r>
    </w:p>
    <w:p w14:paraId="43E72C03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《通信局（站）防雷与接地工程设计规范》GB50689-2011(含强制性条文)；</w:t>
      </w:r>
    </w:p>
    <w:p w14:paraId="5BC465F6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《电信工程制图与图形符号规定》YD/T 5015-2007；</w:t>
      </w:r>
    </w:p>
    <w:p w14:paraId="278F55ED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《信息技术设备的无线电骚扰限制和测量方法》GB9254-1998 </w:t>
      </w:r>
    </w:p>
    <w:p w14:paraId="6C4CE2C5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《电信终端设备放雷技术要求和测试方法》YD/T993-1998  </w:t>
      </w:r>
    </w:p>
    <w:p w14:paraId="030E7037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 xml:space="preserve">《信息技术设备的安全》GB4943-2001  </w:t>
      </w:r>
    </w:p>
    <w:p w14:paraId="23821E58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Q.500系列建议</w:t>
      </w:r>
    </w:p>
    <w:p w14:paraId="64CECB79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Q.551数字交换机传输性能</w:t>
      </w:r>
    </w:p>
    <w:p w14:paraId="6DD2CE3D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Q.552数字交换机2线模拟接口传输特性</w:t>
      </w:r>
    </w:p>
    <w:p w14:paraId="0CA2A4F2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Q.554数字交换机数字接口传输特性</w:t>
      </w:r>
    </w:p>
    <w:p w14:paraId="690707A1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Q.543数字交换机性能设计指标</w:t>
      </w:r>
    </w:p>
    <w:p w14:paraId="5A6CF7CB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Q.512用户接入的交换机接口</w:t>
      </w:r>
    </w:p>
    <w:p w14:paraId="60ADB0BD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K.20电信交换设备对过流和过压的抵抗</w:t>
      </w:r>
    </w:p>
    <w:p w14:paraId="6D3883F9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G.700系列建议</w:t>
      </w:r>
    </w:p>
    <w:p w14:paraId="4920DB17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G.703系列数字接口的物理/电气特性</w:t>
      </w:r>
    </w:p>
    <w:p w14:paraId="41AF88C7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G.704基群和二次群系列级别所用的同步帧结构</w:t>
      </w:r>
    </w:p>
    <w:p w14:paraId="1F7F4727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G.705把数字链路端接在数字交换局所要求的特性</w:t>
      </w:r>
    </w:p>
    <w:p w14:paraId="148DE5AA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G.706与建议G.704规定的基本帧结构有关的帧定位循环冗余(CRC)规程，国家、地方、信息产业部和电信管理部门的相关政策法规。</w:t>
      </w:r>
    </w:p>
    <w:p w14:paraId="5E376C0B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工信部[2008]110号发布的《通信工程安全生产操作规范》、工信部[2008]111号发布的《通信工程安全生产操作规定》；</w:t>
      </w:r>
    </w:p>
    <w:p w14:paraId="2EBC0155">
      <w:pPr>
        <w:rPr>
          <w:lang w:eastAsia="zh-Hans"/>
        </w:rPr>
      </w:pPr>
      <w:r>
        <w:t>*</w:t>
      </w:r>
      <w:r>
        <w:rPr>
          <w:rFonts w:hint="eastAsia"/>
          <w:lang w:eastAsia="zh-Hans"/>
        </w:rPr>
        <w:t>设计人员现场查勘收集的及建设单位提供的相关资料。</w:t>
      </w:r>
    </w:p>
    <w:p w14:paraId="454C9FFB"/>
    <w:p w14:paraId="2D01CC15">
      <w:pPr>
        <w:pStyle w:val="2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三、要求及参数</w:t>
      </w:r>
    </w:p>
    <w:p w14:paraId="62E0AB0E">
      <w:pPr>
        <w:numPr>
          <w:ilvl w:val="0"/>
          <w:numId w:val="3"/>
        </w:numPr>
        <w:ind w:left="0" w:leftChars="0"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在伟伦楼共14个楼层弱电井敷设主干电缆，并汇聚到2F弱电井机房，包括线路敷设、电缆成端、链路试通、资料整理。（含人工及材料）</w:t>
      </w:r>
    </w:p>
    <w:p w14:paraId="08393A06">
      <w:pPr>
        <w:numPr>
          <w:ilvl w:val="0"/>
          <w:numId w:val="3"/>
        </w:numPr>
        <w:ind w:left="0" w:leftChars="0"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在伟伦楼之主体楼敷设1</w:t>
      </w:r>
      <w:r>
        <w:rPr>
          <w:color w:val="auto"/>
        </w:rPr>
        <w:t>2</w:t>
      </w:r>
      <w:r>
        <w:rPr>
          <w:rFonts w:hint="eastAsia"/>
          <w:color w:val="auto"/>
        </w:rPr>
        <w:t>芯光缆一条，包括光缆敷设、纤芯成端、环路测试、资料整理。（含人工及材料）</w:t>
      </w:r>
    </w:p>
    <w:p w14:paraId="483A1CB3">
      <w:pPr>
        <w:numPr>
          <w:ilvl w:val="0"/>
          <w:numId w:val="3"/>
        </w:numPr>
        <w:ind w:left="0" w:leftChars="0" w:firstLine="420" w:firstLineChars="200"/>
        <w:rPr>
          <w:rFonts w:hint="eastAsia" w:ascii="Arial" w:hAnsi="Arial"/>
          <w:color w:val="auto"/>
        </w:rPr>
      </w:pPr>
      <w:r>
        <w:rPr>
          <w:rFonts w:hint="eastAsia"/>
          <w:color w:val="auto"/>
        </w:rPr>
        <w:t>安装调试UG50远端模块，包括设备安装、调测、端口试通、资料整理。（含人工、仪器及安装配件）</w:t>
      </w:r>
      <w:bookmarkStart w:id="0" w:name="_GoBack"/>
      <w:bookmarkEnd w:id="0"/>
    </w:p>
    <w:p w14:paraId="5E0C80D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D1140"/>
    <w:multiLevelType w:val="multilevel"/>
    <w:tmpl w:val="F68D114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16C81FA5"/>
    <w:multiLevelType w:val="singleLevel"/>
    <w:tmpl w:val="16C81F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0376396"/>
    <w:multiLevelType w:val="singleLevel"/>
    <w:tmpl w:val="4037639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jM4NzQzNTc1MDM4ZjRhNGUwY2U1NzljMzc2MmUifQ=="/>
  </w:docVars>
  <w:rsids>
    <w:rsidRoot w:val="00B44142"/>
    <w:rsid w:val="00041A9C"/>
    <w:rsid w:val="000551C7"/>
    <w:rsid w:val="000C7D17"/>
    <w:rsid w:val="000E22E0"/>
    <w:rsid w:val="000F336A"/>
    <w:rsid w:val="001136B2"/>
    <w:rsid w:val="00115952"/>
    <w:rsid w:val="00181332"/>
    <w:rsid w:val="001C79E3"/>
    <w:rsid w:val="001F134D"/>
    <w:rsid w:val="00223583"/>
    <w:rsid w:val="002B117C"/>
    <w:rsid w:val="002C1D09"/>
    <w:rsid w:val="003D7420"/>
    <w:rsid w:val="0041367E"/>
    <w:rsid w:val="00476ABA"/>
    <w:rsid w:val="004A255C"/>
    <w:rsid w:val="004D0503"/>
    <w:rsid w:val="004E60A8"/>
    <w:rsid w:val="004E6F92"/>
    <w:rsid w:val="005672AB"/>
    <w:rsid w:val="005E0370"/>
    <w:rsid w:val="005F3AEA"/>
    <w:rsid w:val="00647E5B"/>
    <w:rsid w:val="00676AE6"/>
    <w:rsid w:val="007B3283"/>
    <w:rsid w:val="007C4283"/>
    <w:rsid w:val="007D72E5"/>
    <w:rsid w:val="008817DF"/>
    <w:rsid w:val="008C78A3"/>
    <w:rsid w:val="008D0BEF"/>
    <w:rsid w:val="009061A3"/>
    <w:rsid w:val="00AA4742"/>
    <w:rsid w:val="00AB179D"/>
    <w:rsid w:val="00B40F46"/>
    <w:rsid w:val="00B44142"/>
    <w:rsid w:val="00B57CEC"/>
    <w:rsid w:val="00B81352"/>
    <w:rsid w:val="00C025AF"/>
    <w:rsid w:val="00C90512"/>
    <w:rsid w:val="00CB758A"/>
    <w:rsid w:val="00CF2214"/>
    <w:rsid w:val="00E15A74"/>
    <w:rsid w:val="00E93BBC"/>
    <w:rsid w:val="00ED7E16"/>
    <w:rsid w:val="00F02376"/>
    <w:rsid w:val="18BC14D4"/>
    <w:rsid w:val="1DFB4810"/>
    <w:rsid w:val="2F113652"/>
    <w:rsid w:val="34FE49B4"/>
    <w:rsid w:val="3A561BF6"/>
    <w:rsid w:val="55533236"/>
    <w:rsid w:val="5F4DF52F"/>
    <w:rsid w:val="663243B6"/>
    <w:rsid w:val="6FDB98D2"/>
    <w:rsid w:val="6FEFBE66"/>
    <w:rsid w:val="6FFBA5D4"/>
    <w:rsid w:val="76BB52BE"/>
    <w:rsid w:val="77FF3DDC"/>
    <w:rsid w:val="796FC7CF"/>
    <w:rsid w:val="7AC34C78"/>
    <w:rsid w:val="7BAC2002"/>
    <w:rsid w:val="A37B82CE"/>
    <w:rsid w:val="ABFDE2EE"/>
    <w:rsid w:val="B9FDDB39"/>
    <w:rsid w:val="BB7B2A62"/>
    <w:rsid w:val="BFF1A5E9"/>
    <w:rsid w:val="DDF50230"/>
    <w:rsid w:val="EDFFBFE7"/>
    <w:rsid w:val="F5AB52E7"/>
    <w:rsid w:val="FA7A8D82"/>
    <w:rsid w:val="FE4DE6AE"/>
    <w:rsid w:val="FF7CDC14"/>
    <w:rsid w:val="FFCFAACE"/>
    <w:rsid w:val="FFFF6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numPr>
        <w:ilvl w:val="0"/>
        <w:numId w:val="1"/>
      </w:numPr>
      <w:spacing w:line="360" w:lineRule="auto"/>
      <w:ind w:left="431" w:hanging="431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link w:val="13"/>
    <w:qFormat/>
    <w:uiPriority w:val="0"/>
    <w:pPr>
      <w:numPr>
        <w:ilvl w:val="1"/>
        <w:numId w:val="1"/>
      </w:numPr>
      <w:spacing w:line="360" w:lineRule="auto"/>
      <w:ind w:left="573" w:hanging="573"/>
      <w:outlineLvl w:val="1"/>
    </w:pPr>
    <w:rPr>
      <w:rFonts w:ascii="Arial" w:hAnsi="Arial"/>
      <w:sz w:val="28"/>
    </w:rPr>
  </w:style>
  <w:style w:type="paragraph" w:styleId="4">
    <w:name w:val="heading 3"/>
    <w:basedOn w:val="1"/>
    <w:next w:val="1"/>
    <w:link w:val="14"/>
    <w:qFormat/>
    <w:uiPriority w:val="0"/>
    <w:pPr>
      <w:numPr>
        <w:ilvl w:val="2"/>
        <w:numId w:val="1"/>
      </w:numPr>
      <w:spacing w:line="360" w:lineRule="auto"/>
      <w:outlineLvl w:val="2"/>
    </w:pPr>
    <w:rPr>
      <w:sz w:val="28"/>
    </w:rPr>
  </w:style>
  <w:style w:type="paragraph" w:styleId="5">
    <w:name w:val="heading 4"/>
    <w:basedOn w:val="1"/>
    <w:next w:val="1"/>
    <w:link w:val="15"/>
    <w:qFormat/>
    <w:uiPriority w:val="0"/>
    <w:pPr>
      <w:keepNext/>
      <w:keepLines/>
      <w:numPr>
        <w:ilvl w:val="3"/>
        <w:numId w:val="1"/>
      </w:numPr>
      <w:tabs>
        <w:tab w:val="left" w:pos="1440"/>
        <w:tab w:val="left" w:pos="2030"/>
      </w:tabs>
      <w:snapToGrid w:val="0"/>
      <w:spacing w:line="360" w:lineRule="auto"/>
      <w:ind w:left="0" w:firstLine="0"/>
      <w:outlineLvl w:val="3"/>
    </w:pPr>
    <w:rPr>
      <w:rFonts w:ascii="Arial" w:hAnsi="Arial"/>
      <w:bCs/>
      <w:sz w:val="24"/>
      <w:szCs w:val="28"/>
    </w:rPr>
  </w:style>
  <w:style w:type="paragraph" w:styleId="6">
    <w:name w:val="heading 5"/>
    <w:basedOn w:val="1"/>
    <w:next w:val="1"/>
    <w:link w:val="16"/>
    <w:qFormat/>
    <w:uiPriority w:val="0"/>
    <w:pPr>
      <w:keepNext/>
      <w:keepLines/>
      <w:numPr>
        <w:ilvl w:val="4"/>
        <w:numId w:val="1"/>
      </w:numPr>
      <w:tabs>
        <w:tab w:val="left" w:pos="1276"/>
        <w:tab w:val="left" w:pos="1800"/>
        <w:tab w:val="left" w:pos="2030"/>
      </w:tabs>
      <w:spacing w:beforeAutospacing="1" w:afterAutospacing="1" w:line="360" w:lineRule="auto"/>
      <w:outlineLvl w:val="4"/>
    </w:pPr>
    <w:rPr>
      <w:rFonts w:ascii="Calibri" w:hAnsi="Calibri"/>
      <w:bCs/>
      <w:sz w:val="24"/>
      <w:szCs w:val="28"/>
    </w:rPr>
  </w:style>
  <w:style w:type="paragraph" w:styleId="7">
    <w:name w:val="heading 6"/>
    <w:basedOn w:val="1"/>
    <w:next w:val="1"/>
    <w:link w:val="17"/>
    <w:qFormat/>
    <w:uiPriority w:val="0"/>
    <w:pPr>
      <w:keepNext/>
      <w:keepLines/>
      <w:numPr>
        <w:ilvl w:val="5"/>
        <w:numId w:val="1"/>
      </w:numPr>
      <w:spacing w:line="360" w:lineRule="auto"/>
      <w:outlineLvl w:val="5"/>
    </w:pPr>
    <w:rPr>
      <w:rFonts w:ascii="Arial" w:hAnsi="Arial"/>
      <w:sz w:val="24"/>
    </w:rPr>
  </w:style>
  <w:style w:type="paragraph" w:styleId="8">
    <w:name w:val="heading 7"/>
    <w:basedOn w:val="1"/>
    <w:next w:val="1"/>
    <w:link w:val="18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link w:val="2"/>
    <w:qFormat/>
    <w:uiPriority w:val="0"/>
    <w:rPr>
      <w:b/>
      <w:kern w:val="44"/>
      <w:sz w:val="28"/>
      <w:szCs w:val="22"/>
    </w:rPr>
  </w:style>
  <w:style w:type="character" w:customStyle="1" w:styleId="13">
    <w:name w:val="标题 2 字符"/>
    <w:link w:val="3"/>
    <w:qFormat/>
    <w:uiPriority w:val="0"/>
    <w:rPr>
      <w:rFonts w:ascii="Arial" w:hAnsi="Arial"/>
      <w:kern w:val="2"/>
      <w:sz w:val="28"/>
      <w:szCs w:val="22"/>
    </w:rPr>
  </w:style>
  <w:style w:type="character" w:customStyle="1" w:styleId="14">
    <w:name w:val="标题 3 字符"/>
    <w:link w:val="4"/>
    <w:qFormat/>
    <w:uiPriority w:val="0"/>
    <w:rPr>
      <w:kern w:val="2"/>
      <w:sz w:val="28"/>
      <w:szCs w:val="22"/>
    </w:rPr>
  </w:style>
  <w:style w:type="character" w:customStyle="1" w:styleId="15">
    <w:name w:val="标题 4 字符"/>
    <w:link w:val="5"/>
    <w:qFormat/>
    <w:uiPriority w:val="0"/>
    <w:rPr>
      <w:rFonts w:ascii="Arial" w:hAnsi="Arial"/>
      <w:bCs/>
      <w:kern w:val="2"/>
      <w:sz w:val="24"/>
      <w:szCs w:val="28"/>
    </w:rPr>
  </w:style>
  <w:style w:type="character" w:customStyle="1" w:styleId="16">
    <w:name w:val="标题 5 字符"/>
    <w:link w:val="6"/>
    <w:semiHidden/>
    <w:qFormat/>
    <w:uiPriority w:val="0"/>
    <w:rPr>
      <w:bCs/>
      <w:kern w:val="2"/>
      <w:sz w:val="24"/>
      <w:szCs w:val="28"/>
    </w:rPr>
  </w:style>
  <w:style w:type="character" w:customStyle="1" w:styleId="17">
    <w:name w:val="标题 6 字符"/>
    <w:link w:val="7"/>
    <w:semiHidden/>
    <w:qFormat/>
    <w:uiPriority w:val="0"/>
    <w:rPr>
      <w:rFonts w:ascii="Arial" w:hAnsi="Arial"/>
      <w:kern w:val="2"/>
      <w:sz w:val="24"/>
      <w:szCs w:val="22"/>
    </w:rPr>
  </w:style>
  <w:style w:type="character" w:customStyle="1" w:styleId="18">
    <w:name w:val="标题 7 字符"/>
    <w:link w:val="8"/>
    <w:semiHidden/>
    <w:qFormat/>
    <w:uiPriority w:val="0"/>
    <w:rPr>
      <w:b/>
      <w:kern w:val="2"/>
      <w:sz w:val="24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 w:val="28"/>
    </w:rPr>
  </w:style>
  <w:style w:type="paragraph" w:customStyle="1" w:styleId="20">
    <w:name w:val="_Style 2"/>
    <w:basedOn w:val="1"/>
    <w:qFormat/>
    <w:uiPriority w:val="34"/>
    <w:pPr>
      <w:ind w:firstLine="42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3442</Words>
  <Characters>4165</Characters>
  <Lines>31</Lines>
  <Paragraphs>8</Paragraphs>
  <TotalTime>2</TotalTime>
  <ScaleCrop>false</ScaleCrop>
  <LinksUpToDate>false</LinksUpToDate>
  <CharactersWithSpaces>4229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2023-06-20T00:24:00Z</dcterms:created>
  <dc:creator>chenqs</dc:creator>
  <cp:lastModifiedBy>李小芳</cp:lastModifiedBy>
  <dcterms:modified xsi:type="dcterms:W3CDTF">2024-09-09T07:19:03Z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4C9A5FADBFA5405AA466E14D2D33957A_13</vt:lpwstr>
  </property>
</Properties>
</file>