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A4A3F">
      <w:pPr>
        <w:spacing w:before="624" w:beforeLines="200" w:after="312" w:afterLines="100"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PET中心影像处理软件开发项目需求</w:t>
      </w:r>
    </w:p>
    <w:p w14:paraId="3BDF4B39">
      <w:pPr>
        <w:pStyle w:val="2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项目名称</w:t>
      </w:r>
    </w:p>
    <w:p w14:paraId="0055AFB0">
      <w:pPr>
        <w:spacing w:line="360" w:lineRule="auto"/>
        <w:ind w:left="432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项目名称：PET中心影像处理软件开发项目</w:t>
      </w:r>
    </w:p>
    <w:p w14:paraId="1983E647">
      <w:pPr>
        <w:pStyle w:val="2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项目内容</w:t>
      </w:r>
    </w:p>
    <w:p w14:paraId="30434989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宋体" w:hAnsi="宋体"/>
          <w:sz w:val="24"/>
        </w:rPr>
        <w:t>能够一站式浏览、融合处理和分析PETCT、PETMR、SPECT，CT、MR等多类型设备影像数据，完全实现品牌、设备跨越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提供满足医院需求的核医学PET中心影像处理软件项目。能满足科室的现有图像处理和科研需求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厂家所提供的核医学PET中心影像处理软件为正版全新产品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核医学PET中心影像处理软件与核医PACS软件等信息系统之间的无缝集成。连接科室全部的相机设备，包括PET和ECT。</w:t>
      </w:r>
    </w:p>
    <w:p w14:paraId="5CD35415">
      <w:pPr>
        <w:pStyle w:val="2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采购清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单</w:t>
      </w:r>
    </w:p>
    <w:p w14:paraId="324D9CA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核医学影像处理软件工作站采购清单如下：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86"/>
        <w:gridCol w:w="4365"/>
        <w:gridCol w:w="660"/>
      </w:tblGrid>
      <w:tr w14:paraId="35729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67F38CF"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3586" w:type="dxa"/>
          </w:tcPr>
          <w:p w14:paraId="39B3595B"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4365" w:type="dxa"/>
          </w:tcPr>
          <w:p w14:paraId="3077D113"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配置描述</w:t>
            </w:r>
          </w:p>
        </w:tc>
        <w:tc>
          <w:tcPr>
            <w:tcW w:w="660" w:type="dxa"/>
          </w:tcPr>
          <w:p w14:paraId="7F9C97A5"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</w:tr>
      <w:tr w14:paraId="6A1F9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8CA9304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86" w:type="dxa"/>
          </w:tcPr>
          <w:p w14:paraId="5E76B427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PET中心影像处理软件开发项目</w:t>
            </w:r>
          </w:p>
        </w:tc>
        <w:tc>
          <w:tcPr>
            <w:tcW w:w="4365" w:type="dxa"/>
          </w:tcPr>
          <w:p w14:paraId="0AEA22C0">
            <w:pPr>
              <w:rPr>
                <w:rFonts w:hint="eastAsia" w:ascii="微软雅黑" w:hAnsi="微软雅黑" w:eastAsia="微软雅黑" w:cs="微软雅黑"/>
              </w:rPr>
            </w:pPr>
            <w:r>
              <w:fldChar w:fldCharType="begin"/>
            </w:r>
            <w:r>
              <w:instrText xml:space="preserve"> HYPERLINK \l "_6.1.1、大数据服务器" </w:instrText>
            </w:r>
            <w:r>
              <w:fldChar w:fldCharType="separate"/>
            </w:r>
            <w:r>
              <w:rPr>
                <w:rStyle w:val="28"/>
                <w:rFonts w:hint="eastAsia" w:ascii="微软雅黑" w:hAnsi="微软雅黑" w:eastAsia="微软雅黑" w:cs="微软雅黑"/>
              </w:rPr>
              <w:t>配置详见</w:t>
            </w:r>
            <w:r>
              <w:rPr>
                <w:rStyle w:val="28"/>
                <w:rFonts w:hint="eastAsia" w:ascii="微软雅黑" w:hAnsi="微软雅黑" w:eastAsia="微软雅黑" w:cs="微软雅黑"/>
                <w:lang w:val="en-US" w:eastAsia="zh-CN"/>
              </w:rPr>
              <w:t>四.详细配置参数</w:t>
            </w:r>
            <w:r>
              <w:rPr>
                <w:rStyle w:val="28"/>
                <w:rFonts w:hint="eastAsia" w:ascii="微软雅黑" w:hAnsi="微软雅黑" w:eastAsia="微软雅黑" w:cs="微软雅黑"/>
              </w:rPr>
              <w:t>影像</w:t>
            </w:r>
            <w:r>
              <w:rPr>
                <w:rStyle w:val="28"/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Style w:val="28"/>
                <w:rFonts w:hint="eastAsia" w:ascii="微软雅黑" w:hAnsi="微软雅黑" w:eastAsia="微软雅黑" w:cs="微软雅黑"/>
              </w:rPr>
              <w:t>处理软件要求</w:t>
            </w:r>
          </w:p>
        </w:tc>
        <w:tc>
          <w:tcPr>
            <w:tcW w:w="660" w:type="dxa"/>
          </w:tcPr>
          <w:p w14:paraId="5343C66A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</w:tbl>
    <w:p w14:paraId="5A447C1C">
      <w:pPr>
        <w:pStyle w:val="55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 w14:paraId="105A1910">
      <w:pPr>
        <w:pStyle w:val="55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 w14:paraId="6B803AF3">
      <w:pPr>
        <w:pStyle w:val="55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 w14:paraId="316268B3">
      <w:pPr>
        <w:pStyle w:val="55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 w14:paraId="27576E93">
      <w:pPr>
        <w:pStyle w:val="2"/>
        <w:numPr>
          <w:ilvl w:val="0"/>
          <w:numId w:val="0"/>
        </w:numPr>
        <w:spacing w:before="0" w:after="0"/>
        <w:ind w:left="432"/>
        <w:rPr>
          <w:rFonts w:hint="eastAsia" w:ascii="微软雅黑" w:hAnsi="微软雅黑" w:eastAsia="微软雅黑" w:cs="微软雅黑"/>
          <w:sz w:val="32"/>
          <w:szCs w:val="32"/>
        </w:rPr>
      </w:pPr>
    </w:p>
    <w:p w14:paraId="6039C52F">
      <w:pPr>
        <w:pStyle w:val="2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详细配置参数</w:t>
      </w:r>
      <w:bookmarkStart w:id="0" w:name="_6.1.1、大数据服务器"/>
      <w:bookmarkEnd w:id="0"/>
    </w:p>
    <w:tbl>
      <w:tblPr>
        <w:tblStyle w:val="23"/>
        <w:tblW w:w="48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04"/>
        <w:gridCol w:w="6551"/>
      </w:tblGrid>
      <w:tr w14:paraId="141F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4" w:type="dxa"/>
            <w:gridSpan w:val="3"/>
            <w:vAlign w:val="center"/>
          </w:tcPr>
          <w:p w14:paraId="234E765D">
            <w:pPr>
              <w:widowControl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</w:rPr>
              <w:t>影像处理软件要求</w:t>
            </w:r>
          </w:p>
        </w:tc>
      </w:tr>
      <w:tr w14:paraId="6D08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1CB95EF2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7C3A64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Cs w:val="21"/>
              </w:rPr>
              <w:t>指标项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4ED8C4F3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Cs w:val="21"/>
              </w:rPr>
              <w:t>技术参数要求</w:t>
            </w:r>
          </w:p>
        </w:tc>
      </w:tr>
      <w:tr w14:paraId="5B6B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7AAB2CD3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3E38BA6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正电子发射断层成像术（PET）图像处理和感兴趣区分析软件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23BF6C9B">
            <w:pPr>
              <w:pStyle w:val="55"/>
              <w:widowControl/>
              <w:numPr>
                <w:ilvl w:val="0"/>
                <w:numId w:val="0"/>
              </w:numPr>
              <w:adjustRightInd w:val="0"/>
              <w:ind w:leftChars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▲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可读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18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种格式的图像，并以以下格式保存：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 </w:t>
            </w:r>
          </w:p>
          <w:p w14:paraId="01B633D4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– DICOM (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写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) </w:t>
            </w:r>
          </w:p>
          <w:p w14:paraId="45EF045D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– ECAT (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写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) </w:t>
            </w:r>
          </w:p>
          <w:p w14:paraId="7D872E0A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– Interfile (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写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) </w:t>
            </w:r>
          </w:p>
          <w:p w14:paraId="45FE26B3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– NIfTI (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写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) </w:t>
            </w:r>
          </w:p>
          <w:p w14:paraId="421F7E9D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– Analyze (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写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) </w:t>
            </w:r>
          </w:p>
          <w:p w14:paraId="258FEA62">
            <w:pPr>
              <w:widowControl/>
              <w:adjustRightInd w:val="0"/>
              <w:rPr>
                <w:rFonts w:hint="default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– MicroPET (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) 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 xml:space="preserve"> ok、</w:t>
            </w:r>
            <w:bookmarkStart w:id="5" w:name="_GoBack"/>
            <w:bookmarkEnd w:id="5"/>
          </w:p>
          <w:p w14:paraId="3A143AB4">
            <w:pPr>
              <w:pStyle w:val="55"/>
              <w:widowControl/>
              <w:numPr>
                <w:ilvl w:val="0"/>
                <w:numId w:val="0"/>
              </w:numPr>
              <w:adjustRightInd w:val="0"/>
              <w:ind w:leftChars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▲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对可视化的感兴趣区域图像，可进行动态编辑：</w:t>
            </w:r>
          </w:p>
          <w:p w14:paraId="0A455DE2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平铺和正交布局</w:t>
            </w:r>
          </w:p>
          <w:p w14:paraId="222F6213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最大化和最小化的强度投影</w:t>
            </w:r>
          </w:p>
          <w:p w14:paraId="0ED22482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不同切片和时间的动态显示</w:t>
            </w:r>
          </w:p>
          <w:p w14:paraId="61A8F4C4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系统和用户自定义的颜色表</w:t>
            </w:r>
          </w:p>
          <w:p w14:paraId="29C2EE6D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标准摄取值（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SUV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）检查</w:t>
            </w:r>
          </w:p>
          <w:p w14:paraId="3641A2AA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像素级的时间活度曲线图</w:t>
            </w:r>
          </w:p>
          <w:p w14:paraId="0F0A3026">
            <w:pPr>
              <w:widowControl/>
              <w:adjustRightInd w:val="0"/>
              <w:rPr>
                <w:rFonts w:hint="default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原始像素图、多种插值方法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 xml:space="preserve">  ok</w:t>
            </w:r>
          </w:p>
          <w:p w14:paraId="37F9B6F2">
            <w:pPr>
              <w:pStyle w:val="55"/>
              <w:widowControl/>
              <w:numPr>
                <w:ilvl w:val="0"/>
                <w:numId w:val="0"/>
              </w:numPr>
              <w:adjustRightInd w:val="0"/>
              <w:ind w:leftChars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▲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可进行以下图像处理程序：</w:t>
            </w:r>
          </w:p>
          <w:p w14:paraId="01EC3E3B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合并静态图像为动态系列图</w:t>
            </w:r>
          </w:p>
          <w:p w14:paraId="5F1C0884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时间平均图像和跨层切片平均图像</w:t>
            </w:r>
          </w:p>
          <w:p w14:paraId="517F9ACD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空间滤波处理（高斯法、中间值法、德里奇（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Deriche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）法）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 </w:t>
            </w:r>
          </w:p>
          <w:p w14:paraId="27629C11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插值至不同像素级别或视场尺寸</w:t>
            </w:r>
          </w:p>
          <w:p w14:paraId="0D09F9BE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大脑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核磁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影像的灰质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白质分区分析</w:t>
            </w:r>
          </w:p>
          <w:p w14:paraId="52BE9F07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大脑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核磁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图像的颅骨剥离</w:t>
            </w:r>
          </w:p>
          <w:p w14:paraId="75E7A170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基于大脑核磁图像的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标准摄取值（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SUV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）值的体积效应校正</w:t>
            </w:r>
          </w:p>
          <w:p w14:paraId="1B710F7C">
            <w:pPr>
              <w:widowControl/>
              <w:adjustRightInd w:val="0"/>
              <w:rPr>
                <w:rFonts w:hint="default" w:eastAsia="微软雅黑 Light"/>
                <w:color w:val="auto"/>
                <w:lang w:val="en-US" w:eastAsia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– ITK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滤波和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ImageJ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软件接口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 xml:space="preserve">  ok</w:t>
            </w:r>
          </w:p>
        </w:tc>
      </w:tr>
      <w:tr w14:paraId="2FBD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00ECF2CA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D2ACD82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正电子发射断层成像术（PET）图像配准与融合分析软件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6EEE158B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▲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支持主流和常见厂家的单光子发射计算机断层成像术（SPECT）、正电子发射断层成像术（PET）、计算机断层扫描（CT）、核磁图像的多模态显像。支持同屏的正电子发射断层成像术（PET）+单光子发射计算机断层成像术（SPECT）+计算机断层扫描（CT）+核磁的多种模态多个序列的融合显像。支持在多个不同序列和模态中的二维的感兴趣区域（R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OI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s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和三维的感兴趣体积（V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OI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s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绘制，并且支持在不同序列中感兴趣区域（R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OI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s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和感兴趣体积（V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OI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s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的相互拷贝编辑功能，以满足研究工作。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Ok</w:t>
            </w:r>
          </w:p>
          <w:p w14:paraId="3EBD5568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▲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支持标准：DICOM 3.0。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 xml:space="preserve"> （提交承诺函并加盖投标人公章）</w:t>
            </w:r>
          </w:p>
          <w:p w14:paraId="00823D71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▲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至少需要兼容的厂商型号：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（提交承诺函并加盖投标人公章）</w:t>
            </w:r>
          </w:p>
          <w:p w14:paraId="1F7BD68B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GE：Millenium；Infinia；Ventri；Discovery 630； Discovery 530c - Alcyone；Discovery 570c - Alcyone； Discovery 670；infinia Hawkeye;；Optima 640；Advance NXI（BGO）；Discovery LS (BGO)；Discovery ST (BGO)，STE(BGO)，RX(LYSO)；600(BGO)；690(LYS0)；’710;；Discovery lQ 正电子发射断层成像术（PET） (BGO) 3R,4R,5R</w:t>
            </w:r>
          </w:p>
          <w:p w14:paraId="6CE258B4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Philips：Cardio 60; CardioMD; Vertex, Vertex Plus；Axis/lrix；Skylight；</w:t>
            </w:r>
          </w:p>
          <w:p w14:paraId="4271DE4D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Prism 1000/2000/3000；Forte；BrightView；Precedence；BrightView CT； C- PET； Allegro；Gemini； Gemini GXL, TF； Ingenuity TF;；Vereos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PET/CT</w:t>
            </w:r>
          </w:p>
          <w:p w14:paraId="2569F73B">
            <w:pPr>
              <w:pStyle w:val="15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Siemens：Multi SPECT ll/lll；c.cam；e.cam；Evo, Evo Excel；Symbia S or "E"；Symbia T2, T6, T16；Intevo 2, 6, 16；ECAT Exact, HR/HR+,Accel；Biograph Duo/B16；Biograph TruePoint 3R/4R，mCT 3R/4R，mCT FIow</w:t>
            </w:r>
          </w:p>
          <w:p w14:paraId="6D3E624E">
            <w:pPr>
              <w:pStyle w:val="15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Digirad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Cardius XPO, Cardius XPO w/XACT AC</w:t>
            </w:r>
          </w:p>
          <w:p w14:paraId="0D4E3C4E">
            <w:pPr>
              <w:pStyle w:val="15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Mediso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Nucline Series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；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AnyScan S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；AnyScan；AnyScan SC；AnyScan PC</w:t>
            </w:r>
          </w:p>
          <w:p w14:paraId="0D6C3A74">
            <w:pPr>
              <w:pStyle w:val="15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MIE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ECAM SCINTRON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；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IECAT 47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，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HR+ACCEL SCINTRON</w:t>
            </w:r>
          </w:p>
          <w:p w14:paraId="0C0B3DE0">
            <w:pPr>
              <w:pStyle w:val="15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Positron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Attrius</w:t>
            </w:r>
          </w:p>
          <w:p w14:paraId="265163AA">
            <w:pPr>
              <w:pStyle w:val="15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SPECT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rum Dynamics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D SPECT</w:t>
            </w:r>
          </w:p>
          <w:p w14:paraId="1B692775">
            <w:pPr>
              <w:pStyle w:val="15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Toshiba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GCA Series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；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t.cam</w:t>
            </w:r>
          </w:p>
          <w:p w14:paraId="0E1AA875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阈值探测感兴趣体积（V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OI）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，计算SUVmax （最大标准摄取值）/SUVmean（平均标准摄取值） /SUVpeak（峰值标准摄取值） /MTV（代谢肿瘤体积） /TLG （总病变糖酵解）等。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Ok</w:t>
            </w:r>
          </w:p>
        </w:tc>
      </w:tr>
      <w:tr w14:paraId="15DD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5B124E5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85493BB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正电子发射断层成像术（PET）药物的药代动力学分析软件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1BA3AC4F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▲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超过4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种组织活度模型，用于预测正电子发射断层成像术（PET）动态摄取，模型类别包括：</w:t>
            </w:r>
          </w:p>
          <w:p w14:paraId="22A656E8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– 房室模型模型：包括一房室、两房室、三房室和四房室组织</w:t>
            </w:r>
          </w:p>
          <w:p w14:paraId="6260C112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受体饱和模型</w:t>
            </w:r>
          </w:p>
          <w:p w14:paraId="34DBB19F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含添加额外代谢物曲线的模型</w:t>
            </w:r>
          </w:p>
          <w:p w14:paraId="6B39F1AF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多次注射采集模式的模型</w:t>
            </w:r>
          </w:p>
          <w:p w14:paraId="28F9A702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bookmarkStart w:id="1" w:name="OLE_LINK3"/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帕特拉克（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Patlak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）</w:t>
            </w:r>
            <w:bookmarkEnd w:id="1"/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、洛根（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Logan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）、伊托（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Ito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）、相对平衡的双图像（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RE-GP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）图表</w:t>
            </w:r>
          </w:p>
          <w:p w14:paraId="768F0859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– 参考组织模型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 </w:t>
            </w:r>
          </w:p>
          <w:p w14:paraId="68402967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双溢出心脏模型</w:t>
            </w:r>
          </w:p>
          <w:p w14:paraId="554B453B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支持三指数函数、伽马修正函数、分室函数进行血液和血浆活度模型建立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eastAsia="zh-CN"/>
              </w:rPr>
              <w:t>。</w:t>
            </w:r>
          </w:p>
          <w:p w14:paraId="489B9B76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支持经验函数、三指数函数利用血浆分数数据从全血活度曲线计算出血浆活度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eastAsia="zh-CN"/>
              </w:rPr>
              <w:t>。</w:t>
            </w:r>
          </w:p>
          <w:p w14:paraId="0FB46040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支持经验函数、峰值函数、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/>
              </w:rPr>
              <w:t>渡部（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Wata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be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函数、功率衰减指数函数、一、二、三指数函数利用母分数数据获得血浆活度曲线的代谢物值校正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 w14:paraId="4C63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5DA5DA6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EB8DC5D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正电子发射断层成像术（PET）药物的像素动力学分析软件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42D87679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▲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多于2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5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种组织活度模型，用于预测正电子发射断层成像术（PET）/单光子发射计算机断层成像术（SPECT）动态摄取，模型类别包括：</w:t>
            </w:r>
          </w:p>
          <w:p w14:paraId="5DB899A1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标准一房室、二房室组织模型 </w:t>
            </w:r>
          </w:p>
          <w:p w14:paraId="7C07A9FC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带时间加权综合解决方案的单个组织房室模型 </w:t>
            </w:r>
          </w:p>
          <w:p w14:paraId="249D535C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带岭回归拟合的一房室、二房室模型 </w:t>
            </w:r>
          </w:p>
          <w:p w14:paraId="3989EC1C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基于基函数方法的二房室模型 </w:t>
            </w:r>
          </w:p>
          <w:p w14:paraId="0ACF60D0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– 洛根（Logan）和</w:t>
            </w:r>
            <w:bookmarkStart w:id="2" w:name="OLE_LINK1"/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帕特拉克</w:t>
            </w:r>
            <w:bookmarkEnd w:id="2"/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Patlak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）图 </w:t>
            </w:r>
          </w:p>
          <w:p w14:paraId="31B9CC1A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– 针对</w:t>
            </w:r>
            <w:bookmarkStart w:id="3" w:name="OLE_LINK2"/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葡萄糖代谢率（MRGlu）</w:t>
            </w:r>
            <w:bookmarkEnd w:id="3"/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、脑血流量（CBF）和脑血容量（CBV）的放射性显影法 </w:t>
            </w:r>
          </w:p>
          <w:p w14:paraId="559A217C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带固定和拟合k2值的简化参考组织模型 </w:t>
            </w:r>
          </w:p>
          <w:p w14:paraId="4251127A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– 三元多线性对照组织法 </w:t>
            </w:r>
          </w:p>
          <w:p w14:paraId="6F84A55F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– 帕特拉克（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Patlak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）和帕特拉克（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Patlak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）图的对照变量 </w:t>
            </w:r>
          </w:p>
          <w:p w14:paraId="54EABD0B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– 实用模型（相关性、回归分析、傅里叶分析、分形分析）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ok</w:t>
            </w:r>
          </w:p>
        </w:tc>
      </w:tr>
      <w:tr w14:paraId="40DD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3DB945ED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7BC6713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正电子发射断层成像术（PET）脑图像分析软件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7C7959EF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基于解剖学T1-核磁脑部序列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/>
              </w:rPr>
              <w:t>进行脑分区的方法，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获得法国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/>
              </w:rPr>
              <w:t>原子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能委员会(CEA)的许可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该方法基于一个包含26个正常T1-核磁脑部扫描的数据库，优化程序包括：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（提交承诺函并加盖投标人公章）</w:t>
            </w:r>
          </w:p>
          <w:p w14:paraId="4F4A12C7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核磁去噪强度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67BF426B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灰质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白质分离加权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2F63F2D1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数据库中使用的受试人的数目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2866FDA4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用于与核磁匹配的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平均范围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121D3B85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空间的区域统计（核磁或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）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12871B59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用于部分体积校正的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检测装置的分辨率</w:t>
            </w:r>
          </w:p>
          <w:p w14:paraId="0AD2D106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获得了伦敦帝国学院的授权的通过哈默（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Hammers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）概率图谱的脑部自动分区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/>
              </w:rPr>
              <w:t>方法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，功能包括：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（提交承诺函并加盖投标人公章）</w:t>
            </w:r>
          </w:p>
          <w:p w14:paraId="7C470A10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通过空间标准化对感兴趣区域图谱的调整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4C5A0B89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基于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或核磁图像的规范化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35796D33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支持用户自定义的标准化模板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0E5EFC9F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感兴趣区域与灰质概率屏蔽的交叉点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6D0E10FD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空间之间的感兴趣区域的转移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4FAEA0B6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采用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图像的感兴趣区域的统计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</w:t>
            </w:r>
          </w:p>
          <w:p w14:paraId="1B475913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可选的统计值的部分体积校正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  <w:lang w:val="zh-CN"/>
              </w:rPr>
              <w:t>  </w:t>
            </w:r>
          </w:p>
          <w:p w14:paraId="61CAEC70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eastAsia="微软雅黑 Light"/>
                <w:color w:val="auto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支持从正常的志愿者的一致的图像创建标准的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数据库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（提交承诺函并加盖投标人公章）</w:t>
            </w:r>
          </w:p>
        </w:tc>
      </w:tr>
      <w:tr w14:paraId="16F9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0A2B01D2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EF183AC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啮齿类动物脑图像分析软件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43B4CA20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包括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5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个大鼠和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2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个小鼠的大脑图谱，每一个都有自己的一套标准化模板和大脑区域定义，并且支持用户自定义的标准化模板。</w:t>
            </w:r>
          </w:p>
          <w:p w14:paraId="2A94B9FB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可以实现多模态图像交互式匹配</w:t>
            </w:r>
          </w:p>
          <w:p w14:paraId="26AF93E6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基于模板图像的进行目标图像的空间归一化处理。</w:t>
            </w:r>
          </w:p>
          <w:p w14:paraId="38C99D7F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当处理动态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系列时，产生的感兴趣体积（V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OI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s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可用于生成区域时间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-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活度曲线，并直接传递到动力学建模工具</w:t>
            </w:r>
            <w:r>
              <w:rPr>
                <w:rFonts w:ascii="微软雅黑 Light" w:hAnsi="微软雅黑 Light" w:eastAsia="微软雅黑 Light" w:cs="微软雅黑 Light"/>
                <w:color w:val="auto"/>
                <w:sz w:val="18"/>
                <w:szCs w:val="18"/>
              </w:rPr>
              <w:t>PKIN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。</w:t>
            </w:r>
          </w:p>
          <w:p w14:paraId="025521AC">
            <w:pPr>
              <w:pStyle w:val="55"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每个个体的浓度变化像素可以被分析，从而产生定量描绘组织功能的参数化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/>
              </w:rPr>
              <w:t>图像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。</w:t>
            </w:r>
          </w:p>
        </w:tc>
      </w:tr>
      <w:tr w14:paraId="5693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74301710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3F1C00A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放射性药物组织器官辐射吸收剂量分析软件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79F6FB1B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▲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 xml:space="preserve">计算各种器官的吸收辐射剂量。 </w:t>
            </w:r>
          </w:p>
          <w:p w14:paraId="130C46ED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▲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支持几个单独的器官模型，至少包括前列腺，腹腔，头/脑和多部分肾等等。</w:t>
            </w:r>
          </w:p>
          <w:p w14:paraId="5909BF59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至少支持超过≥800个核素。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（提交承诺函并加盖投标人公章）</w:t>
            </w:r>
          </w:p>
          <w:p w14:paraId="65FE9D96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包含修正器官质量和辐射权重因子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（提交承诺函并加盖投标人公章）</w:t>
            </w:r>
          </w:p>
          <w:p w14:paraId="1C6129F5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</w:rPr>
              <w:t>需支持拟人化人体模型和动物模型，人体模型至少需要包括各个年龄段的男女性和孕妇，动物模型至少需要包括不同重量的鼠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sz w:val="18"/>
                <w:szCs w:val="18"/>
                <w:lang w:val="en-US" w:eastAsia="zh-CN"/>
              </w:rPr>
              <w:t>（提交承诺函并加盖投标人公章）</w:t>
            </w:r>
          </w:p>
        </w:tc>
      </w:tr>
    </w:tbl>
    <w:p w14:paraId="28BEBE49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微软雅黑" w:hAnsi="微软雅黑" w:eastAsia="微软雅黑" w:cs="微软雅黑"/>
          <w:szCs w:val="21"/>
        </w:rPr>
      </w:pPr>
      <w:bookmarkStart w:id="4" w:name="_6.1.2、容器服务器"/>
      <w:bookmarkEnd w:id="4"/>
      <w:r>
        <w:rPr>
          <w:rFonts w:hint="eastAsia" w:ascii="微软雅黑" w:hAnsi="微软雅黑" w:eastAsia="微软雅黑" w:cs="微软雅黑"/>
          <w:szCs w:val="21"/>
        </w:rPr>
        <w:t>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 w14:paraId="3896BF93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微软雅黑" w:hAnsi="微软雅黑" w:eastAsia="微软雅黑" w:cs="微软雅黑"/>
          <w:szCs w:val="21"/>
        </w:rPr>
      </w:pPr>
    </w:p>
    <w:p w14:paraId="0A404811">
      <w:pPr>
        <w:pStyle w:val="2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交货日期</w:t>
      </w:r>
    </w:p>
    <w:p w14:paraId="5F196999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(一)供货方须在院方支付合同首款后的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60 </w:t>
      </w:r>
      <w:r>
        <w:rPr>
          <w:rFonts w:hint="eastAsia" w:ascii="微软雅黑" w:hAnsi="微软雅黑" w:eastAsia="微软雅黑" w:cs="微软雅黑"/>
          <w:szCs w:val="21"/>
        </w:rPr>
        <w:t>个工作日内向院方提交采购清单中的物品。</w:t>
      </w:r>
    </w:p>
    <w:p w14:paraId="6CF4FFFA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(二)交货日期以货物到达院方指定货运详细地址的日期为准。</w:t>
      </w:r>
    </w:p>
    <w:p w14:paraId="0E0CFB28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 w14:paraId="230BDF36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交货方式</w:t>
      </w:r>
    </w:p>
    <w:p w14:paraId="197EDE81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(一)供货方应按时将货物送至院方指定货运详细地址。</w:t>
      </w:r>
    </w:p>
    <w:p w14:paraId="332AC412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(二)交货完成的有效证明：供货方送货人，必须随货物提交交货签收单给院方收货人，交货签收单必须有院方、供货方两方的签字方有效。</w:t>
      </w:r>
    </w:p>
    <w:p w14:paraId="0AB0ABC7">
      <w:pPr>
        <w:rPr>
          <w:rFonts w:hint="eastAsia" w:ascii="微软雅黑" w:hAnsi="微软雅黑" w:eastAsia="微软雅黑" w:cs="微软雅黑"/>
        </w:rPr>
      </w:pPr>
    </w:p>
    <w:p w14:paraId="36BA9E7A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en-US" w:eastAsia="zh-CN"/>
        </w:rPr>
        <w:t>实施</w:t>
      </w: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要求</w:t>
      </w:r>
    </w:p>
    <w:p w14:paraId="305E761A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(一)供货方负责合同项下设备的安装调试，并按院方要求，免费提供本项目下设备的搬迁工作。</w:t>
      </w:r>
    </w:p>
    <w:p w14:paraId="32E59DBC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(二)供货方应按院方指定的安装日期、安装要求进行安装工作。</w:t>
      </w:r>
    </w:p>
    <w:p w14:paraId="2DE10A6B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(三)供货方需根据院方的详细需求，提交项目产品的安装、调试及培训实施方案，方案得到院方确认后实施，保证系统按时、正常地投入运行。</w:t>
      </w:r>
    </w:p>
    <w:p w14:paraId="2D596B89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Cs w:val="21"/>
        </w:rPr>
        <w:t>投标人在项目实施启动至验收期间，保证有工程师能驻场支持，投标人能够在项目实施时，能现场响应，并实现客户化需求，项目实施期间，中标人保证不少于1名工程师驻场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 w14:paraId="5A7F373E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保修服务</w:t>
      </w:r>
    </w:p>
    <w:p w14:paraId="5D772282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(一)整机保修：保修期自验收合格之日起计算。</w:t>
      </w:r>
    </w:p>
    <w:p w14:paraId="3E73BF07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(二)提供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3 </w:t>
      </w:r>
      <w:r>
        <w:rPr>
          <w:rFonts w:hint="eastAsia" w:ascii="微软雅黑" w:hAnsi="微软雅黑" w:eastAsia="微软雅黑" w:cs="微软雅黑"/>
          <w:szCs w:val="21"/>
        </w:rPr>
        <w:t>年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原 </w:t>
      </w:r>
      <w:r>
        <w:rPr>
          <w:rFonts w:hint="eastAsia" w:ascii="微软雅黑" w:hAnsi="微软雅黑" w:eastAsia="微软雅黑" w:cs="微软雅黑"/>
          <w:szCs w:val="21"/>
        </w:rPr>
        <w:t>厂家保修服务，3年内对当前版本的维护版本进行免费维护、升级。（未升级版本不影响使用，若有影响使用的版本更新供货方上门进行升级维护。）</w:t>
      </w:r>
    </w:p>
    <w:p w14:paraId="7974354C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三)在维护期结束前，须由供货方和院方进行一次全面检查，任何缺陷必须由供货方负责修复，在修复之后，供货方应将缺陷原因、修复内容、完成修理及恢复正常的时间和日期等报告给院方，形成项目总结报告。</w:t>
      </w:r>
    </w:p>
    <w:p w14:paraId="7A2DA8EE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(四)超过维护期的，双方另行协商签订维护合同，信息设备（产品）的3年总维护报价不超过合同信息设备（产品）部分金额的5%。</w:t>
      </w:r>
    </w:p>
    <w:p w14:paraId="44B6AA45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售后服务：提供原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原厂 </w:t>
      </w:r>
      <w:r>
        <w:rPr>
          <w:rFonts w:hint="eastAsia" w:ascii="微软雅黑" w:hAnsi="微软雅黑" w:eastAsia="微软雅黑" w:cs="微软雅黑"/>
          <w:szCs w:val="21"/>
        </w:rPr>
        <w:t>厂家5*24小时工作日免费维修服务</w:t>
      </w:r>
    </w:p>
    <w:p w14:paraId="2EAF03FE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响应时间、方式：在8小时内响应，48小时内到达现场并在48小时内解决问题</w:t>
      </w:r>
    </w:p>
    <w:p w14:paraId="0B38E278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 w14:paraId="2054DC1B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培训</w:t>
      </w:r>
    </w:p>
    <w:p w14:paraId="728CA85C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供货方应为院方进行培训，包括使用培训和维护培训。</w:t>
      </w:r>
    </w:p>
    <w:p w14:paraId="1923C63D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 w14:paraId="0C78CC88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 w14:paraId="114B43FE">
      <w:pPr>
        <w:pStyle w:val="2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合同款支付方式</w:t>
      </w:r>
    </w:p>
    <w:p w14:paraId="3B142F55">
      <w:pPr>
        <w:pStyle w:val="55"/>
        <w:numPr>
          <w:ilvl w:val="0"/>
          <w:numId w:val="5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甲方将按如下方式向乙方支付合同费用：</w:t>
      </w:r>
    </w:p>
    <w:p w14:paraId="13137184">
      <w:pPr>
        <w:pStyle w:val="55"/>
        <w:numPr>
          <w:ilvl w:val="0"/>
          <w:numId w:val="6"/>
        </w:numPr>
        <w:spacing w:line="360" w:lineRule="auto"/>
        <w:ind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合同签订后，甲方在收到乙方开具相应金额正式发票后，向乙方支付合同总金额的30%，共计人民币_________元(大写：人民币_________元整)。</w:t>
      </w:r>
    </w:p>
    <w:p w14:paraId="400BA1C8">
      <w:pPr>
        <w:pStyle w:val="55"/>
        <w:numPr>
          <w:ilvl w:val="0"/>
          <w:numId w:val="6"/>
        </w:numPr>
        <w:spacing w:line="360" w:lineRule="auto"/>
        <w:ind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软件验收通过后，甲方在收到乙方开具相应金额正式发票以及售后服务履约承诺函后，向乙方支付合同中软件金额的70%，共计人民币_________元(大写：人民币_________元整)。</w:t>
      </w:r>
    </w:p>
    <w:p w14:paraId="34173596">
      <w:pPr>
        <w:tabs>
          <w:tab w:val="left" w:pos="780"/>
        </w:tabs>
        <w:spacing w:before="156" w:beforeLines="50" w:line="360" w:lineRule="auto"/>
        <w:outlineLvl w:val="0"/>
        <w:rPr>
          <w:rFonts w:hint="eastAsia" w:ascii="微软雅黑" w:hAnsi="微软雅黑" w:eastAsia="微软雅黑" w:cs="微软雅黑"/>
          <w:b/>
          <w:color w:val="FF0000"/>
          <w:sz w:val="30"/>
          <w:szCs w:val="30"/>
        </w:rPr>
      </w:pP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AE3AC">
    <w:pPr>
      <w:pStyle w:val="18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</w:rPr>
      <w:t>1</w:t>
    </w:r>
    <w:r>
      <w:rPr>
        <w:caps/>
        <w:color w:val="5B9BD5"/>
      </w:rPr>
      <w:fldChar w:fldCharType="end"/>
    </w:r>
  </w:p>
  <w:p w14:paraId="721CF035">
    <w:pPr>
      <w:pStyle w:val="1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decimal"/>
      <w:pStyle w:val="64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7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63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62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7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61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6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6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42AD1DD7"/>
    <w:multiLevelType w:val="multilevel"/>
    <w:tmpl w:val="42AD1DD7"/>
    <w:lvl w:ilvl="0" w:tentative="0">
      <w:start w:val="1"/>
      <w:numFmt w:val="decimal"/>
      <w:lvlText w:val="%1."/>
      <w:lvlJc w:val="left"/>
      <w:pPr>
        <w:ind w:left="456" w:hanging="456"/>
      </w:pPr>
      <w:rPr>
        <w:rFonts w:hint="eastAsia"/>
      </w:rPr>
    </w:lvl>
    <w:lvl w:ilvl="1" w:tentative="0">
      <w:start w:val="1"/>
      <w:numFmt w:val="decimal"/>
      <w:lvlText w:val="%2）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92F1E54"/>
    <w:multiLevelType w:val="multilevel"/>
    <w:tmpl w:val="592F1E54"/>
    <w:lvl w:ilvl="0" w:tentative="0">
      <w:start w:val="1"/>
      <w:numFmt w:val="decimal"/>
      <w:lvlText w:val="1.%1"/>
      <w:lvlJc w:val="left"/>
      <w:pPr>
        <w:ind w:left="896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36" w:hanging="440"/>
      </w:pPr>
    </w:lvl>
    <w:lvl w:ilvl="2" w:tentative="0">
      <w:start w:val="1"/>
      <w:numFmt w:val="lowerRoman"/>
      <w:lvlText w:val="%3."/>
      <w:lvlJc w:val="right"/>
      <w:pPr>
        <w:ind w:left="1776" w:hanging="440"/>
      </w:pPr>
    </w:lvl>
    <w:lvl w:ilvl="3" w:tentative="0">
      <w:start w:val="1"/>
      <w:numFmt w:val="decimal"/>
      <w:lvlText w:val="%4."/>
      <w:lvlJc w:val="left"/>
      <w:pPr>
        <w:ind w:left="2216" w:hanging="440"/>
      </w:pPr>
    </w:lvl>
    <w:lvl w:ilvl="4" w:tentative="0">
      <w:start w:val="1"/>
      <w:numFmt w:val="lowerLetter"/>
      <w:lvlText w:val="%5)"/>
      <w:lvlJc w:val="left"/>
      <w:pPr>
        <w:ind w:left="2656" w:hanging="440"/>
      </w:pPr>
    </w:lvl>
    <w:lvl w:ilvl="5" w:tentative="0">
      <w:start w:val="1"/>
      <w:numFmt w:val="lowerRoman"/>
      <w:lvlText w:val="%6."/>
      <w:lvlJc w:val="right"/>
      <w:pPr>
        <w:ind w:left="3096" w:hanging="440"/>
      </w:pPr>
    </w:lvl>
    <w:lvl w:ilvl="6" w:tentative="0">
      <w:start w:val="1"/>
      <w:numFmt w:val="decimal"/>
      <w:lvlText w:val="%7."/>
      <w:lvlJc w:val="left"/>
      <w:pPr>
        <w:ind w:left="3536" w:hanging="440"/>
      </w:pPr>
    </w:lvl>
    <w:lvl w:ilvl="7" w:tentative="0">
      <w:start w:val="1"/>
      <w:numFmt w:val="lowerLetter"/>
      <w:lvlText w:val="%8)"/>
      <w:lvlJc w:val="left"/>
      <w:pPr>
        <w:ind w:left="3976" w:hanging="440"/>
      </w:pPr>
    </w:lvl>
    <w:lvl w:ilvl="8" w:tentative="0">
      <w:start w:val="1"/>
      <w:numFmt w:val="lowerRoman"/>
      <w:lvlText w:val="%9."/>
      <w:lvlJc w:val="right"/>
      <w:pPr>
        <w:ind w:left="4416" w:hanging="440"/>
      </w:pPr>
    </w:lvl>
  </w:abstractNum>
  <w:abstractNum w:abstractNumId="5">
    <w:nsid w:val="616A9125"/>
    <w:multiLevelType w:val="singleLevel"/>
    <w:tmpl w:val="616A91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303343"/>
    <w:rsid w:val="00000FAB"/>
    <w:rsid w:val="000051D2"/>
    <w:rsid w:val="000079DD"/>
    <w:rsid w:val="00012DCC"/>
    <w:rsid w:val="00016B63"/>
    <w:rsid w:val="00042C6F"/>
    <w:rsid w:val="0004334E"/>
    <w:rsid w:val="00046B39"/>
    <w:rsid w:val="00054706"/>
    <w:rsid w:val="00060E05"/>
    <w:rsid w:val="000612F5"/>
    <w:rsid w:val="00066DE7"/>
    <w:rsid w:val="00074EDD"/>
    <w:rsid w:val="000757C1"/>
    <w:rsid w:val="00086AE0"/>
    <w:rsid w:val="0009064D"/>
    <w:rsid w:val="00090A18"/>
    <w:rsid w:val="000B41B7"/>
    <w:rsid w:val="000D2A2E"/>
    <w:rsid w:val="000D5317"/>
    <w:rsid w:val="000E276C"/>
    <w:rsid w:val="00106D68"/>
    <w:rsid w:val="001106CE"/>
    <w:rsid w:val="001107F8"/>
    <w:rsid w:val="00111552"/>
    <w:rsid w:val="001116F6"/>
    <w:rsid w:val="001161EB"/>
    <w:rsid w:val="00121E40"/>
    <w:rsid w:val="0012322D"/>
    <w:rsid w:val="00123CDF"/>
    <w:rsid w:val="00123FCC"/>
    <w:rsid w:val="00131933"/>
    <w:rsid w:val="00135BF9"/>
    <w:rsid w:val="001365DD"/>
    <w:rsid w:val="00136606"/>
    <w:rsid w:val="00140E0C"/>
    <w:rsid w:val="0014437A"/>
    <w:rsid w:val="00153AB3"/>
    <w:rsid w:val="00162D29"/>
    <w:rsid w:val="00164878"/>
    <w:rsid w:val="00164C3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1F5E30"/>
    <w:rsid w:val="00200054"/>
    <w:rsid w:val="002000DE"/>
    <w:rsid w:val="00202EFF"/>
    <w:rsid w:val="0020509F"/>
    <w:rsid w:val="00207A96"/>
    <w:rsid w:val="00213FE6"/>
    <w:rsid w:val="00214A6F"/>
    <w:rsid w:val="00221F1F"/>
    <w:rsid w:val="00223E47"/>
    <w:rsid w:val="00241D77"/>
    <w:rsid w:val="002509F5"/>
    <w:rsid w:val="002535AA"/>
    <w:rsid w:val="00261CBC"/>
    <w:rsid w:val="002642B2"/>
    <w:rsid w:val="00265DE7"/>
    <w:rsid w:val="00270260"/>
    <w:rsid w:val="002722CA"/>
    <w:rsid w:val="002834D3"/>
    <w:rsid w:val="002853BF"/>
    <w:rsid w:val="00292528"/>
    <w:rsid w:val="002A01D6"/>
    <w:rsid w:val="002A4778"/>
    <w:rsid w:val="002C0F45"/>
    <w:rsid w:val="002C1296"/>
    <w:rsid w:val="002C53D1"/>
    <w:rsid w:val="002D3FE5"/>
    <w:rsid w:val="002D6BE1"/>
    <w:rsid w:val="002E5407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B285A"/>
    <w:rsid w:val="003C0FB7"/>
    <w:rsid w:val="003C6D81"/>
    <w:rsid w:val="003D0F80"/>
    <w:rsid w:val="003D2595"/>
    <w:rsid w:val="003E7083"/>
    <w:rsid w:val="003F629F"/>
    <w:rsid w:val="00403938"/>
    <w:rsid w:val="00405AA9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3637"/>
    <w:rsid w:val="006279C6"/>
    <w:rsid w:val="00644F1D"/>
    <w:rsid w:val="00646B59"/>
    <w:rsid w:val="006604C2"/>
    <w:rsid w:val="00667D71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A5027"/>
    <w:rsid w:val="007C0A5B"/>
    <w:rsid w:val="007D22AB"/>
    <w:rsid w:val="007E71E6"/>
    <w:rsid w:val="007F5726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53807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23074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015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64109"/>
    <w:rsid w:val="00D70437"/>
    <w:rsid w:val="00D71136"/>
    <w:rsid w:val="00D7755A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3F60"/>
    <w:rsid w:val="00DF4228"/>
    <w:rsid w:val="00E06670"/>
    <w:rsid w:val="00E24235"/>
    <w:rsid w:val="00E43152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36222"/>
    <w:rsid w:val="00F45DB8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68D3"/>
    <w:rsid w:val="00FC4B75"/>
    <w:rsid w:val="00FE7554"/>
    <w:rsid w:val="00FF17FE"/>
    <w:rsid w:val="02A102CC"/>
    <w:rsid w:val="05555ACE"/>
    <w:rsid w:val="05DC356F"/>
    <w:rsid w:val="07772A73"/>
    <w:rsid w:val="095E5344"/>
    <w:rsid w:val="0FDB1233"/>
    <w:rsid w:val="12A45495"/>
    <w:rsid w:val="12A6008B"/>
    <w:rsid w:val="1469269F"/>
    <w:rsid w:val="153B44F3"/>
    <w:rsid w:val="156B397B"/>
    <w:rsid w:val="1CFC0034"/>
    <w:rsid w:val="1D580012"/>
    <w:rsid w:val="20A26336"/>
    <w:rsid w:val="21383137"/>
    <w:rsid w:val="214C1CFB"/>
    <w:rsid w:val="231170CF"/>
    <w:rsid w:val="239D46CA"/>
    <w:rsid w:val="23FA5D88"/>
    <w:rsid w:val="26F45411"/>
    <w:rsid w:val="28783C22"/>
    <w:rsid w:val="2D2343B5"/>
    <w:rsid w:val="334361AB"/>
    <w:rsid w:val="34C97A2C"/>
    <w:rsid w:val="356B280C"/>
    <w:rsid w:val="36E16BC6"/>
    <w:rsid w:val="37D14BAC"/>
    <w:rsid w:val="37ED3C8A"/>
    <w:rsid w:val="3BB51678"/>
    <w:rsid w:val="3C5E36D1"/>
    <w:rsid w:val="3FB94FF5"/>
    <w:rsid w:val="3FD02573"/>
    <w:rsid w:val="42200080"/>
    <w:rsid w:val="43301127"/>
    <w:rsid w:val="43F87E97"/>
    <w:rsid w:val="45877724"/>
    <w:rsid w:val="481020D8"/>
    <w:rsid w:val="48272AF9"/>
    <w:rsid w:val="488C513A"/>
    <w:rsid w:val="51084EE8"/>
    <w:rsid w:val="53DD0E57"/>
    <w:rsid w:val="546F6583"/>
    <w:rsid w:val="55505D69"/>
    <w:rsid w:val="570676F9"/>
    <w:rsid w:val="59A8305B"/>
    <w:rsid w:val="5D0E6F09"/>
    <w:rsid w:val="60A84EA2"/>
    <w:rsid w:val="60B24E81"/>
    <w:rsid w:val="60EA0710"/>
    <w:rsid w:val="64CD45D0"/>
    <w:rsid w:val="65804CB7"/>
    <w:rsid w:val="68690428"/>
    <w:rsid w:val="68D83812"/>
    <w:rsid w:val="69621952"/>
    <w:rsid w:val="6A420BB3"/>
    <w:rsid w:val="6AFA5E18"/>
    <w:rsid w:val="6C991968"/>
    <w:rsid w:val="6CCB7647"/>
    <w:rsid w:val="6DCD07BE"/>
    <w:rsid w:val="70992B9C"/>
    <w:rsid w:val="72102F36"/>
    <w:rsid w:val="771F1E77"/>
    <w:rsid w:val="77A172FF"/>
    <w:rsid w:val="78781364"/>
    <w:rsid w:val="78964FAD"/>
    <w:rsid w:val="7A3060B8"/>
    <w:rsid w:val="7B4707E1"/>
    <w:rsid w:val="7CE341D9"/>
    <w:rsid w:val="7D0B71C7"/>
    <w:rsid w:val="7D8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5">
    <w:name w:val="heading 4"/>
    <w:basedOn w:val="1"/>
    <w:next w:val="1"/>
    <w:link w:val="34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35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36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/>
    </w:rPr>
  </w:style>
  <w:style w:type="paragraph" w:styleId="8">
    <w:name w:val="heading 7"/>
    <w:basedOn w:val="1"/>
    <w:next w:val="1"/>
    <w:link w:val="37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9">
    <w:name w:val="heading 8"/>
    <w:basedOn w:val="1"/>
    <w:next w:val="1"/>
    <w:link w:val="38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/>
    </w:rPr>
  </w:style>
  <w:style w:type="paragraph" w:styleId="10">
    <w:name w:val="heading 9"/>
    <w:basedOn w:val="1"/>
    <w:next w:val="1"/>
    <w:link w:val="39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40"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annotation text"/>
    <w:basedOn w:val="1"/>
    <w:link w:val="41"/>
    <w:unhideWhenUsed/>
    <w:qFormat/>
    <w:uiPriority w:val="0"/>
    <w:pPr>
      <w:jc w:val="left"/>
    </w:pPr>
    <w:rPr>
      <w:kern w:val="0"/>
      <w:sz w:val="20"/>
      <w:lang w:val="zh-CN"/>
    </w:rPr>
  </w:style>
  <w:style w:type="paragraph" w:styleId="13">
    <w:name w:val="Body Text Indent"/>
    <w:basedOn w:val="1"/>
    <w:qFormat/>
    <w:uiPriority w:val="0"/>
    <w:pPr>
      <w:ind w:firstLine="555"/>
    </w:pPr>
    <w:rPr>
      <w:lang w:val="zh-CN"/>
    </w:rPr>
  </w:style>
  <w:style w:type="paragraph" w:styleId="14">
    <w:name w:val="Plain Text"/>
    <w:basedOn w:val="1"/>
    <w:link w:val="42"/>
    <w:qFormat/>
    <w:uiPriority w:val="0"/>
    <w:rPr>
      <w:rFonts w:ascii="Calibri" w:hAnsi="Courier New"/>
      <w:szCs w:val="20"/>
      <w:lang w:val="zh-CN"/>
    </w:rPr>
  </w:style>
  <w:style w:type="paragraph" w:styleId="15">
    <w:name w:val="Body Text Indent 2"/>
    <w:basedOn w:val="1"/>
    <w:link w:val="7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6">
    <w:name w:val="endnote text"/>
    <w:basedOn w:val="1"/>
    <w:qFormat/>
    <w:uiPriority w:val="0"/>
    <w:pPr>
      <w:snapToGrid w:val="0"/>
      <w:jc w:val="left"/>
    </w:pPr>
  </w:style>
  <w:style w:type="paragraph" w:styleId="17">
    <w:name w:val="Balloon Text"/>
    <w:basedOn w:val="1"/>
    <w:link w:val="43"/>
    <w:qFormat/>
    <w:uiPriority w:val="0"/>
    <w:rPr>
      <w:sz w:val="18"/>
      <w:szCs w:val="18"/>
      <w:lang w:val="zh-CN"/>
    </w:rPr>
  </w:style>
  <w:style w:type="paragraph" w:styleId="18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9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0">
    <w:name w:val="Subtitle"/>
    <w:basedOn w:val="1"/>
    <w:next w:val="1"/>
    <w:link w:val="70"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Body Text First Indent 2"/>
    <w:basedOn w:val="13"/>
    <w:unhideWhenUsed/>
    <w:qFormat/>
    <w:uiPriority w:val="99"/>
    <w:pPr>
      <w:ind w:firstLine="420" w:firstLineChars="200"/>
    </w:pPr>
  </w:style>
  <w:style w:type="table" w:styleId="24">
    <w:name w:val="Table Grid"/>
    <w:basedOn w:val="2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6">
    <w:name w:val="Strong"/>
    <w:basedOn w:val="25"/>
    <w:qFormat/>
    <w:uiPriority w:val="0"/>
    <w:rPr>
      <w:b/>
    </w:rPr>
  </w:style>
  <w:style w:type="character" w:styleId="27">
    <w:name w:val="endnote reference"/>
    <w:basedOn w:val="25"/>
    <w:qFormat/>
    <w:uiPriority w:val="0"/>
    <w:rPr>
      <w:vertAlign w:val="superscript"/>
    </w:rPr>
  </w:style>
  <w:style w:type="character" w:styleId="28">
    <w:name w:val="Hyperlink"/>
    <w:qFormat/>
    <w:uiPriority w:val="0"/>
    <w:rPr>
      <w:color w:val="0563C1"/>
      <w:u w:val="single"/>
    </w:rPr>
  </w:style>
  <w:style w:type="character" w:styleId="29">
    <w:name w:val="annotation reference"/>
    <w:unhideWhenUsed/>
    <w:qFormat/>
    <w:uiPriority w:val="99"/>
    <w:rPr>
      <w:sz w:val="21"/>
      <w:szCs w:val="21"/>
    </w:rPr>
  </w:style>
  <w:style w:type="paragraph" w:customStyle="1" w:styleId="30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character" w:customStyle="1" w:styleId="31">
    <w:name w:val="标题 1 字符"/>
    <w:link w:val="2"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32">
    <w:name w:val="标题 2 字符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3">
    <w:name w:val="标题 3 字符"/>
    <w:link w:val="4"/>
    <w:qFormat/>
    <w:uiPriority w:val="0"/>
    <w:rPr>
      <w:b/>
      <w:bCs/>
      <w:kern w:val="2"/>
      <w:sz w:val="30"/>
      <w:szCs w:val="30"/>
    </w:rPr>
  </w:style>
  <w:style w:type="character" w:customStyle="1" w:styleId="34">
    <w:name w:val="标题 4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5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6">
    <w:name w:val="标题 6 字符"/>
    <w:link w:val="7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7">
    <w:name w:val="标题 7 字符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38">
    <w:name w:val="标题 8 字符"/>
    <w:link w:val="9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9">
    <w:name w:val="标题 9 字符"/>
    <w:link w:val="10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40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41">
    <w:name w:val="批注文字 字符1"/>
    <w:link w:val="12"/>
    <w:qFormat/>
    <w:uiPriority w:val="0"/>
    <w:rPr>
      <w:szCs w:val="24"/>
    </w:rPr>
  </w:style>
  <w:style w:type="character" w:customStyle="1" w:styleId="42">
    <w:name w:val="纯文本 字符"/>
    <w:link w:val="14"/>
    <w:qFormat/>
    <w:uiPriority w:val="0"/>
    <w:rPr>
      <w:rFonts w:ascii="Calibri" w:hAnsi="Courier New"/>
      <w:kern w:val="2"/>
      <w:sz w:val="21"/>
    </w:rPr>
  </w:style>
  <w:style w:type="character" w:customStyle="1" w:styleId="43">
    <w:name w:val="批注框文本 字符"/>
    <w:link w:val="17"/>
    <w:qFormat/>
    <w:uiPriority w:val="0"/>
    <w:rPr>
      <w:kern w:val="2"/>
      <w:sz w:val="18"/>
      <w:szCs w:val="18"/>
    </w:rPr>
  </w:style>
  <w:style w:type="character" w:customStyle="1" w:styleId="44">
    <w:name w:val="页脚 字符1"/>
    <w:link w:val="18"/>
    <w:qFormat/>
    <w:uiPriority w:val="0"/>
    <w:rPr>
      <w:kern w:val="2"/>
      <w:sz w:val="18"/>
      <w:szCs w:val="18"/>
    </w:rPr>
  </w:style>
  <w:style w:type="character" w:customStyle="1" w:styleId="45">
    <w:name w:val="页眉 字符"/>
    <w:link w:val="19"/>
    <w:qFormat/>
    <w:uiPriority w:val="0"/>
    <w:rPr>
      <w:kern w:val="2"/>
      <w:sz w:val="18"/>
      <w:szCs w:val="18"/>
    </w:rPr>
  </w:style>
  <w:style w:type="character" w:customStyle="1" w:styleId="46">
    <w:name w:val="已访问的超链接1"/>
    <w:qFormat/>
    <w:uiPriority w:val="0"/>
    <w:rPr>
      <w:color w:val="800080"/>
      <w:u w:val="single"/>
    </w:rPr>
  </w:style>
  <w:style w:type="character" w:customStyle="1" w:styleId="47">
    <w:name w:val="正文（首行缩进2字符） Char"/>
    <w:link w:val="48"/>
    <w:qFormat/>
    <w:uiPriority w:val="0"/>
    <w:rPr>
      <w:kern w:val="2"/>
      <w:sz w:val="24"/>
      <w:szCs w:val="24"/>
    </w:rPr>
  </w:style>
  <w:style w:type="paragraph" w:customStyle="1" w:styleId="48">
    <w:name w:val="正文（首行缩进2字符）"/>
    <w:basedOn w:val="1"/>
    <w:link w:val="47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49">
    <w:name w:val="段落 Char1"/>
    <w:link w:val="50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50">
    <w:name w:val="段落"/>
    <w:link w:val="49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51">
    <w:name w:val="正文（安华金和） Char"/>
    <w:link w:val="52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52">
    <w:name w:val="正文（安华金和）"/>
    <w:link w:val="51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53">
    <w:name w:val="页脚 字符"/>
    <w:qFormat/>
    <w:uiPriority w:val="99"/>
  </w:style>
  <w:style w:type="character" w:customStyle="1" w:styleId="54">
    <w:name w:val="列表段落 字符"/>
    <w:link w:val="55"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55">
    <w:name w:val="List Paragraph"/>
    <w:basedOn w:val="1"/>
    <w:link w:val="54"/>
    <w:qFormat/>
    <w:uiPriority w:val="34"/>
    <w:pPr>
      <w:ind w:firstLine="420" w:firstLineChars="200"/>
    </w:pPr>
    <w:rPr>
      <w:rFonts w:ascii="等线" w:hAnsi="等线" w:eastAsia="等线"/>
      <w:szCs w:val="22"/>
      <w:lang w:val="zh-CN"/>
    </w:rPr>
  </w:style>
  <w:style w:type="paragraph" w:customStyle="1" w:styleId="56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7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9">
    <w:name w:val="_Style 27"/>
    <w:basedOn w:val="1"/>
    <w:next w:val="55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60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61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62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3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4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  <w:lang w:val="en-US"/>
    </w:rPr>
  </w:style>
  <w:style w:type="paragraph" w:customStyle="1" w:styleId="65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6">
    <w:name w:val="表格标注（安华金和）"/>
    <w:basedOn w:val="56"/>
    <w:next w:val="1"/>
    <w:qFormat/>
    <w:uiPriority w:val="0"/>
    <w:pPr>
      <w:numPr>
        <w:ilvl w:val="7"/>
      </w:numPr>
    </w:pPr>
  </w:style>
  <w:style w:type="paragraph" w:customStyle="1" w:styleId="67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8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9">
    <w:name w:val="批注文字 字符"/>
    <w:qFormat/>
    <w:uiPriority w:val="99"/>
    <w:rPr>
      <w:kern w:val="2"/>
      <w:sz w:val="21"/>
      <w:szCs w:val="24"/>
    </w:rPr>
  </w:style>
  <w:style w:type="character" w:customStyle="1" w:styleId="70">
    <w:name w:val="副标题 字符"/>
    <w:link w:val="20"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  <w:style w:type="table" w:customStyle="1" w:styleId="7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2">
    <w:name w:val="apple-converted-space"/>
    <w:qFormat/>
    <w:uiPriority w:val="0"/>
  </w:style>
  <w:style w:type="character" w:customStyle="1" w:styleId="73">
    <w:name w:val="正文文本缩进 2 字符"/>
    <w:basedOn w:val="25"/>
    <w:link w:val="15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3614</Words>
  <Characters>4537</Characters>
  <Lines>33</Lines>
  <Paragraphs>9</Paragraphs>
  <TotalTime>1</TotalTime>
  <ScaleCrop>false</ScaleCrop>
  <LinksUpToDate>false</LinksUpToDate>
  <CharactersWithSpaces>4712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2024-08-12T10:01:00Z</dcterms:created>
  <dc:creator>陈永辉</dc:creator>
  <cp:lastModifiedBy>赵杰</cp:lastModifiedBy>
  <dcterms:modified xsi:type="dcterms:W3CDTF">2024-09-29T06:07:42Z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839C77071AB74969BC82309028083D3F_13</vt:lpwstr>
  </property>
</Properties>
</file>