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A7162" w14:textId="012D3BFB" w:rsidR="00BA06A8" w:rsidRPr="008E5F69" w:rsidRDefault="008E5F6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6"/>
          <w:szCs w:val="44"/>
        </w:rPr>
      </w:pPr>
      <w:r w:rsidRPr="008E5F69">
        <w:rPr>
          <w:rFonts w:ascii="宋体" w:eastAsia="宋体" w:hAnsi="宋体" w:cs="宋体" w:hint="eastAsia"/>
          <w:b/>
          <w:kern w:val="0"/>
          <w:sz w:val="36"/>
          <w:szCs w:val="44"/>
        </w:rPr>
        <w:t>影像实验室网络设备采购项目（</w:t>
      </w:r>
      <w:r w:rsidRPr="008E5F69">
        <w:rPr>
          <w:rFonts w:ascii="宋体" w:eastAsia="宋体" w:hAnsi="宋体" w:cs="宋体"/>
          <w:b/>
          <w:kern w:val="0"/>
          <w:sz w:val="36"/>
          <w:szCs w:val="44"/>
        </w:rPr>
        <w:t>2024年）</w:t>
      </w:r>
      <w:r w:rsidR="00DA6A3E" w:rsidRPr="008E5F69">
        <w:rPr>
          <w:rFonts w:ascii="宋体" w:eastAsia="宋体" w:hAnsi="宋体" w:cs="宋体" w:hint="eastAsia"/>
          <w:b/>
          <w:kern w:val="0"/>
          <w:sz w:val="36"/>
          <w:szCs w:val="44"/>
        </w:rPr>
        <w:t>需求书</w:t>
      </w:r>
    </w:p>
    <w:p w14:paraId="21ECBC82" w14:textId="77777777" w:rsidR="00BA06A8" w:rsidRDefault="00DA6A3E">
      <w:pPr>
        <w:pStyle w:val="1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项目名称</w:t>
      </w:r>
    </w:p>
    <w:p w14:paraId="12087D1A" w14:textId="2BC3C3C9" w:rsidR="00BA06A8" w:rsidRDefault="00DA6A3E">
      <w:pPr>
        <w:spacing w:line="360" w:lineRule="auto"/>
        <w:ind w:left="432"/>
        <w:rPr>
          <w:rFonts w:ascii="宋体" w:eastAsia="宋体" w:hAnsi="宋体"/>
          <w:sz w:val="22"/>
          <w:szCs w:val="22"/>
        </w:rPr>
      </w:pPr>
      <w:r w:rsidRPr="004D0A40">
        <w:rPr>
          <w:rFonts w:ascii="宋体" w:eastAsia="宋体" w:hAnsi="宋体" w:hint="eastAsia"/>
          <w:sz w:val="22"/>
          <w:szCs w:val="22"/>
        </w:rPr>
        <w:t>项目名称：</w:t>
      </w:r>
      <w:r w:rsidR="008E5F69">
        <w:rPr>
          <w:rFonts w:ascii="宋体" w:eastAsia="宋体" w:hAnsi="宋体"/>
          <w:sz w:val="22"/>
          <w:szCs w:val="22"/>
        </w:rPr>
        <w:t xml:space="preserve"> </w:t>
      </w:r>
      <w:r w:rsidR="008E5F69" w:rsidRPr="008E5F69">
        <w:rPr>
          <w:rFonts w:ascii="宋体" w:eastAsia="宋体" w:hAnsi="宋体" w:hint="eastAsia"/>
          <w:sz w:val="22"/>
          <w:szCs w:val="22"/>
        </w:rPr>
        <w:t>影像实验室网络设备采购项目（</w:t>
      </w:r>
      <w:r w:rsidR="008E5F69" w:rsidRPr="008E5F69">
        <w:rPr>
          <w:rFonts w:ascii="宋体" w:eastAsia="宋体" w:hAnsi="宋体"/>
          <w:sz w:val="22"/>
          <w:szCs w:val="22"/>
        </w:rPr>
        <w:t>2024年）</w:t>
      </w:r>
    </w:p>
    <w:p w14:paraId="6AB418EC" w14:textId="45C7451E" w:rsidR="00BA06A8" w:rsidRDefault="00DA6A3E">
      <w:pPr>
        <w:pStyle w:val="1"/>
        <w:numPr>
          <w:ilvl w:val="0"/>
          <w:numId w:val="2"/>
        </w:numPr>
        <w:ind w:leftChars="86" w:left="61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</w:t>
      </w:r>
      <w:r w:rsidR="00F03EE7">
        <w:rPr>
          <w:rFonts w:ascii="宋体" w:eastAsia="宋体" w:hAnsi="宋体" w:hint="eastAsia"/>
        </w:rPr>
        <w:t>概述</w:t>
      </w:r>
    </w:p>
    <w:p w14:paraId="6AC52882" w14:textId="6DB2FF3C" w:rsidR="001201BC" w:rsidRPr="001201BC" w:rsidRDefault="00AC184A" w:rsidP="00AE4B09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我院</w:t>
      </w:r>
      <w:r w:rsidR="001201BC" w:rsidRPr="001201BC">
        <w:rPr>
          <w:rFonts w:ascii="宋体" w:eastAsia="宋体" w:hAnsi="宋体" w:hint="eastAsia"/>
          <w:sz w:val="22"/>
          <w:szCs w:val="22"/>
        </w:rPr>
        <w:t>的医学影像智能分析与应用重点实验室，已搭建高性能计算资源环境，原有网络、安全设备已不能满足实验室日益增长的高带宽和安全要求。现采购部分网络设备，需支持智能运维管理，同时满足实验室对网络系统的高带宽、高可靠和安全要求。</w:t>
      </w:r>
    </w:p>
    <w:p w14:paraId="4C1A479B" w14:textId="77777777" w:rsidR="00BA06A8" w:rsidRDefault="00DA6A3E">
      <w:pPr>
        <w:pStyle w:val="1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采购设备清单 </w:t>
      </w:r>
    </w:p>
    <w:tbl>
      <w:tblPr>
        <w:tblpPr w:leftFromText="180" w:rightFromText="180" w:vertAnchor="text" w:horzAnchor="margin" w:tblpY="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1931"/>
        <w:gridCol w:w="4035"/>
        <w:gridCol w:w="1571"/>
      </w:tblGrid>
      <w:tr w:rsidR="00BA06A8" w14:paraId="6D1B6907" w14:textId="77777777" w:rsidTr="001B1D15">
        <w:trPr>
          <w:trHeight w:val="581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D376" w14:textId="77777777" w:rsidR="00BA06A8" w:rsidRPr="004D0A40" w:rsidRDefault="00DA6A3E" w:rsidP="004D0A4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0A40">
              <w:rPr>
                <w:rFonts w:ascii="宋体" w:eastAsia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1AA6" w14:textId="77777777" w:rsidR="00BA06A8" w:rsidRPr="004D0A40" w:rsidRDefault="00DA6A3E" w:rsidP="004D0A4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0A40">
              <w:rPr>
                <w:rFonts w:ascii="宋体" w:eastAsia="宋体" w:hAnsi="宋体" w:cs="宋体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48C4" w14:textId="2C8E74ED" w:rsidR="00BA06A8" w:rsidRPr="004D0A40" w:rsidRDefault="001B1D15" w:rsidP="004D0A4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67CA" w14:textId="77777777" w:rsidR="00BA06A8" w:rsidRPr="004D0A40" w:rsidRDefault="00DA6A3E" w:rsidP="004D0A4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0A40">
              <w:rPr>
                <w:rFonts w:ascii="宋体" w:eastAsia="宋体" w:hAnsi="宋体" w:cs="宋体"/>
                <w:kern w:val="0"/>
                <w:sz w:val="22"/>
                <w:szCs w:val="22"/>
              </w:rPr>
              <w:t>数</w:t>
            </w:r>
            <w:r w:rsidRPr="004D0A4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量</w:t>
            </w:r>
          </w:p>
        </w:tc>
      </w:tr>
      <w:tr w:rsidR="001B1D15" w14:paraId="30A92E79" w14:textId="77777777" w:rsidTr="001B1D15">
        <w:trPr>
          <w:trHeight w:val="491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17AC" w14:textId="77777777" w:rsidR="001B1D15" w:rsidRPr="004D0A40" w:rsidRDefault="001B1D15" w:rsidP="001B1D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0A40"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0211" w14:textId="12CEA259" w:rsidR="001B1D15" w:rsidRPr="004D0A40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交换机1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252F" w14:textId="7CFCE939" w:rsidR="001B1D15" w:rsidRPr="004D0A40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0A4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详见4.1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交换机1的技术参数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6234" w14:textId="266DFAA3" w:rsidR="001B1D15" w:rsidRPr="004D0A40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</w:t>
            </w:r>
          </w:p>
        </w:tc>
      </w:tr>
      <w:tr w:rsidR="001B1D15" w14:paraId="738A854C" w14:textId="77777777" w:rsidTr="001B1D15">
        <w:trPr>
          <w:trHeight w:val="491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99AB" w14:textId="77777777" w:rsidR="001B1D15" w:rsidRPr="004D0A40" w:rsidRDefault="001B1D15" w:rsidP="001B1D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0A4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1A6C" w14:textId="17D52117" w:rsidR="001B1D15" w:rsidRPr="004D0A40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交换机2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9141" w14:textId="54D7BDAC" w:rsidR="001B1D15" w:rsidRPr="004D0A40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D0A4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详见4.2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  <w:bookmarkStart w:id="0" w:name="_Hlk178241787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交换机2的技术参数</w:t>
            </w:r>
            <w:bookmarkEnd w:id="0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335F" w14:textId="67918329" w:rsidR="001B1D15" w:rsidRPr="004D0A40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</w:t>
            </w:r>
          </w:p>
        </w:tc>
      </w:tr>
      <w:tr w:rsidR="001B1D15" w14:paraId="0DA870D4" w14:textId="77777777" w:rsidTr="001B1D15">
        <w:trPr>
          <w:trHeight w:val="491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7614" w14:textId="11FD256C" w:rsidR="001B1D15" w:rsidRPr="004D0A40" w:rsidRDefault="001B1D15" w:rsidP="001B1D1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972F" w14:textId="1D9C21A9" w:rsidR="001B1D15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CF92" w14:textId="1A4C6CA5" w:rsidR="001B1D15" w:rsidRPr="004D0A40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详见4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.3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防火墙的技术参数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0AA7" w14:textId="4758BDF5" w:rsidR="001B1D15" w:rsidRDefault="001B1D15" w:rsidP="001B1D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2台</w:t>
            </w:r>
          </w:p>
        </w:tc>
      </w:tr>
    </w:tbl>
    <w:p w14:paraId="1E107511" w14:textId="5A388154" w:rsidR="00057A55" w:rsidRPr="00057A55" w:rsidRDefault="00DA6A3E" w:rsidP="00057A55">
      <w:pPr>
        <w:pStyle w:val="1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详细</w:t>
      </w:r>
      <w:r w:rsidR="001B1D15">
        <w:rPr>
          <w:rFonts w:ascii="宋体" w:eastAsia="宋体" w:hAnsi="宋体" w:hint="eastAsia"/>
        </w:rPr>
        <w:t>技术</w:t>
      </w:r>
      <w:r>
        <w:rPr>
          <w:rFonts w:ascii="宋体" w:eastAsia="宋体" w:hAnsi="宋体" w:hint="eastAsia"/>
        </w:rPr>
        <w:t>参数</w:t>
      </w:r>
    </w:p>
    <w:p w14:paraId="2950ED24" w14:textId="75E078F5" w:rsidR="00BA06A8" w:rsidRDefault="00DA6A3E">
      <w:pPr>
        <w:pStyle w:val="2"/>
        <w:ind w:leftChars="86" w:left="18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4.1</w:t>
      </w:r>
      <w:r w:rsidR="001B1D15" w:rsidRPr="001B1D15">
        <w:rPr>
          <w:rFonts w:ascii="宋体" w:eastAsia="宋体" w:hAnsi="宋体" w:hint="eastAsia"/>
        </w:rPr>
        <w:t>交换机</w:t>
      </w:r>
      <w:r w:rsidR="001B1D15" w:rsidRPr="001B1D15">
        <w:rPr>
          <w:rFonts w:ascii="宋体" w:eastAsia="宋体" w:hAnsi="宋体"/>
        </w:rPr>
        <w:t>1的技术参数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750"/>
        <w:gridCol w:w="5041"/>
      </w:tblGrid>
      <w:tr w:rsidR="001E50A8" w14:paraId="3D936BD3" w14:textId="77777777" w:rsidTr="0096730D">
        <w:trPr>
          <w:trHeight w:val="167"/>
        </w:trPr>
        <w:tc>
          <w:tcPr>
            <w:tcW w:w="907" w:type="pct"/>
          </w:tcPr>
          <w:p w14:paraId="723D14AF" w14:textId="22093EB0" w:rsidR="001E50A8" w:rsidRPr="002366EF" w:rsidRDefault="001E50A8" w:rsidP="004D0A40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55" w:type="pct"/>
            <w:vAlign w:val="center"/>
          </w:tcPr>
          <w:p w14:paraId="20A6579F" w14:textId="35E0201F" w:rsidR="001E50A8" w:rsidRPr="002366EF" w:rsidRDefault="001E50A8" w:rsidP="004D0A4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指标项</w:t>
            </w:r>
          </w:p>
        </w:tc>
        <w:tc>
          <w:tcPr>
            <w:tcW w:w="3038" w:type="pct"/>
            <w:vAlign w:val="center"/>
          </w:tcPr>
          <w:p w14:paraId="287C2490" w14:textId="77777777" w:rsidR="001E50A8" w:rsidRPr="002366EF" w:rsidRDefault="001E50A8" w:rsidP="004D0A4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指标要求</w:t>
            </w:r>
          </w:p>
        </w:tc>
      </w:tr>
      <w:tr w:rsidR="001E50A8" w14:paraId="0B0CE1F1" w14:textId="77777777" w:rsidTr="00625042">
        <w:trPr>
          <w:trHeight w:val="408"/>
        </w:trPr>
        <w:tc>
          <w:tcPr>
            <w:tcW w:w="907" w:type="pct"/>
            <w:vAlign w:val="center"/>
          </w:tcPr>
          <w:p w14:paraId="7DF2AB8F" w14:textId="094CEF2A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5B9C4A61" w14:textId="2C4F6C18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交换容量</w:t>
            </w:r>
          </w:p>
        </w:tc>
        <w:tc>
          <w:tcPr>
            <w:tcW w:w="3038" w:type="pct"/>
            <w:vAlign w:val="center"/>
          </w:tcPr>
          <w:p w14:paraId="15DE4515" w14:textId="29219732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≥</w:t>
            </w:r>
            <w:r w:rsidR="00890E5E" w:rsidRPr="002366EF">
              <w:rPr>
                <w:rFonts w:ascii="宋体" w:eastAsia="宋体" w:hAnsi="宋体" w:cs="宋体"/>
                <w:sz w:val="22"/>
                <w:szCs w:val="22"/>
              </w:rPr>
              <w:t>4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Tbps</w:t>
            </w:r>
          </w:p>
        </w:tc>
      </w:tr>
      <w:tr w:rsidR="001E50A8" w14:paraId="7515C006" w14:textId="77777777" w:rsidTr="00625042">
        <w:trPr>
          <w:trHeight w:val="804"/>
        </w:trPr>
        <w:tc>
          <w:tcPr>
            <w:tcW w:w="907" w:type="pct"/>
            <w:vAlign w:val="center"/>
          </w:tcPr>
          <w:p w14:paraId="30EFA2AD" w14:textId="677FE044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08448D95" w14:textId="61AC7ACB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/>
                <w:sz w:val="22"/>
                <w:szCs w:val="22"/>
              </w:rPr>
              <w:t>转发性能</w:t>
            </w:r>
          </w:p>
        </w:tc>
        <w:tc>
          <w:tcPr>
            <w:tcW w:w="3038" w:type="pct"/>
            <w:vAlign w:val="center"/>
          </w:tcPr>
          <w:p w14:paraId="48F834FE" w14:textId="7676E44E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包转发率≥</w:t>
            </w:r>
            <w:r w:rsidR="007E4F6F"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 w:rsidR="007E4F6F">
              <w:rPr>
                <w:rFonts w:ascii="宋体" w:eastAsia="宋体" w:hAnsi="宋体" w:cs="宋体"/>
                <w:sz w:val="22"/>
                <w:szCs w:val="22"/>
              </w:rPr>
              <w:t>000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Mpps</w:t>
            </w:r>
          </w:p>
        </w:tc>
      </w:tr>
      <w:tr w:rsidR="001E50A8" w14:paraId="7113B613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1CABCCB8" w14:textId="2FCB91E1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2AD6F5B1" w14:textId="5A08BF9D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/>
                <w:sz w:val="22"/>
                <w:szCs w:val="22"/>
              </w:rPr>
              <w:t>电源</w:t>
            </w:r>
          </w:p>
        </w:tc>
        <w:tc>
          <w:tcPr>
            <w:tcW w:w="3038" w:type="pct"/>
            <w:vAlign w:val="center"/>
          </w:tcPr>
          <w:p w14:paraId="139C5FCB" w14:textId="5D609437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模块化双电源</w:t>
            </w:r>
          </w:p>
        </w:tc>
      </w:tr>
      <w:tr w:rsidR="001E50A8" w14:paraId="2D842AA6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00E286DA" w14:textId="2FA84446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059DE9CA" w14:textId="05D96ACA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/>
                <w:sz w:val="22"/>
                <w:szCs w:val="22"/>
              </w:rPr>
              <w:t>风扇</w:t>
            </w:r>
          </w:p>
        </w:tc>
        <w:tc>
          <w:tcPr>
            <w:tcW w:w="3038" w:type="pct"/>
            <w:vAlign w:val="center"/>
          </w:tcPr>
          <w:p w14:paraId="161E8FED" w14:textId="2A6C561C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模块化双风扇，前/后通风</w:t>
            </w:r>
          </w:p>
        </w:tc>
      </w:tr>
      <w:tr w:rsidR="00D55018" w14:paraId="11C0A8C5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285FF462" w14:textId="654FFB9B" w:rsidR="00D55018" w:rsidRPr="002366EF" w:rsidRDefault="00D5501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042F2B46" w14:textId="26D40C06" w:rsidR="00D55018" w:rsidRPr="002366EF" w:rsidRDefault="00D5501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芯片</w:t>
            </w:r>
          </w:p>
        </w:tc>
        <w:tc>
          <w:tcPr>
            <w:tcW w:w="3038" w:type="pct"/>
            <w:vAlign w:val="center"/>
          </w:tcPr>
          <w:p w14:paraId="209BBD7A" w14:textId="33DA1324" w:rsidR="00D55018" w:rsidRPr="002366EF" w:rsidRDefault="00D55018" w:rsidP="00625042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要求采用自主可控芯片</w:t>
            </w:r>
          </w:p>
        </w:tc>
      </w:tr>
      <w:tr w:rsidR="001E50A8" w14:paraId="3DC660C2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0868F780" w14:textId="4E809B1F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60DD0D14" w14:textId="6D9BADD7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交换机接口</w:t>
            </w:r>
          </w:p>
        </w:tc>
        <w:tc>
          <w:tcPr>
            <w:tcW w:w="3038" w:type="pct"/>
            <w:vAlign w:val="center"/>
          </w:tcPr>
          <w:p w14:paraId="1B4B9601" w14:textId="35795141" w:rsidR="001E50A8" w:rsidRPr="00932469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932469">
              <w:rPr>
                <w:rFonts w:ascii="宋体" w:eastAsia="宋体" w:hAnsi="宋体" w:cs="宋体" w:hint="eastAsia"/>
                <w:sz w:val="22"/>
                <w:szCs w:val="22"/>
              </w:rPr>
              <w:t>≥</w:t>
            </w:r>
            <w:r w:rsidR="007E4F6F"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  <w:r w:rsidR="007E4F6F">
              <w:rPr>
                <w:rFonts w:ascii="宋体" w:eastAsia="宋体" w:hAnsi="宋体" w:cs="宋体"/>
                <w:sz w:val="22"/>
                <w:szCs w:val="22"/>
              </w:rPr>
              <w:t>8</w:t>
            </w:r>
            <w:r w:rsidRPr="00932469">
              <w:rPr>
                <w:rFonts w:ascii="宋体" w:eastAsia="宋体" w:hAnsi="宋体" w:cs="宋体"/>
                <w:sz w:val="22"/>
                <w:szCs w:val="22"/>
              </w:rPr>
              <w:t>个万兆以太网光接口，</w:t>
            </w:r>
            <w:r w:rsidR="004B24E6" w:rsidRPr="00932469">
              <w:rPr>
                <w:rFonts w:ascii="宋体" w:eastAsia="宋体" w:hAnsi="宋体" w:cs="宋体" w:hint="eastAsia"/>
                <w:sz w:val="22"/>
                <w:szCs w:val="22"/>
              </w:rPr>
              <w:t>≥</w:t>
            </w:r>
            <w:r w:rsidR="00DB4952"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 w:rsidRPr="00932469">
              <w:rPr>
                <w:rFonts w:ascii="宋体" w:eastAsia="宋体" w:hAnsi="宋体" w:cs="宋体"/>
                <w:sz w:val="22"/>
                <w:szCs w:val="22"/>
              </w:rPr>
              <w:t>个</w:t>
            </w:r>
            <w:r w:rsidR="00DB4952"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  <w:r w:rsidR="007E4F6F">
              <w:rPr>
                <w:rFonts w:ascii="宋体" w:eastAsia="宋体" w:hAnsi="宋体" w:cs="宋体"/>
                <w:sz w:val="22"/>
                <w:szCs w:val="22"/>
              </w:rPr>
              <w:t>0</w:t>
            </w:r>
            <w:r w:rsidRPr="00932469">
              <w:rPr>
                <w:rFonts w:ascii="宋体" w:eastAsia="宋体" w:hAnsi="宋体" w:cs="宋体"/>
                <w:sz w:val="22"/>
                <w:szCs w:val="22"/>
              </w:rPr>
              <w:t>G以太网光接口</w:t>
            </w:r>
          </w:p>
        </w:tc>
      </w:tr>
      <w:tr w:rsidR="001E50A8" w14:paraId="08E8B5A1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56F2DEE1" w14:textId="36CBC69C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7FBDA322" w14:textId="0314FB21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VxLAN</w:t>
            </w:r>
          </w:p>
        </w:tc>
        <w:tc>
          <w:tcPr>
            <w:tcW w:w="3038" w:type="pct"/>
            <w:vAlign w:val="center"/>
          </w:tcPr>
          <w:p w14:paraId="292844EB" w14:textId="7F5C2AA0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支持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VxLAN二层网关</w:t>
            </w:r>
          </w:p>
        </w:tc>
      </w:tr>
      <w:tr w:rsidR="001E50A8" w14:paraId="424C1B7B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195DCF1E" w14:textId="428F1A0D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628C9530" w14:textId="3E5D38EE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ERPS</w:t>
            </w:r>
          </w:p>
        </w:tc>
        <w:tc>
          <w:tcPr>
            <w:tcW w:w="3038" w:type="pct"/>
            <w:vAlign w:val="center"/>
          </w:tcPr>
          <w:p w14:paraId="46443904" w14:textId="0B29D873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要求具备ERPS功能，并且收敛时间小于</w:t>
            </w:r>
            <w:r w:rsidR="000E5120" w:rsidRPr="002366EF"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0E5120" w:rsidRPr="002366EF">
              <w:rPr>
                <w:rFonts w:ascii="宋体" w:eastAsia="宋体" w:hAnsi="宋体"/>
                <w:sz w:val="22"/>
                <w:szCs w:val="22"/>
              </w:rPr>
              <w:t>00</w:t>
            </w:r>
            <w:r w:rsidRPr="002366EF">
              <w:rPr>
                <w:rFonts w:ascii="宋体" w:eastAsia="宋体" w:hAnsi="宋体" w:hint="eastAsia"/>
                <w:sz w:val="22"/>
                <w:szCs w:val="22"/>
              </w:rPr>
              <w:t>ms</w:t>
            </w:r>
          </w:p>
        </w:tc>
      </w:tr>
      <w:tr w:rsidR="001E50A8" w14:paraId="76F99773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1A359194" w14:textId="06E7343A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7CC70D07" w14:textId="3EDF5E68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CPU保护</w:t>
            </w:r>
          </w:p>
        </w:tc>
        <w:tc>
          <w:tcPr>
            <w:tcW w:w="3038" w:type="pct"/>
            <w:vAlign w:val="center"/>
          </w:tcPr>
          <w:p w14:paraId="19AF5917" w14:textId="3382BB65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要求具备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CPU保护功能，能限制非法报文对CPU的攻击，保护交换机在各种环境下稳定工作</w:t>
            </w:r>
          </w:p>
        </w:tc>
      </w:tr>
      <w:tr w:rsidR="001E50A8" w14:paraId="22330482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1AB900BC" w14:textId="6ECB3DD4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438EA88C" w14:textId="4A1174C2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V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LAN</w:t>
            </w:r>
          </w:p>
        </w:tc>
        <w:tc>
          <w:tcPr>
            <w:tcW w:w="3038" w:type="pct"/>
            <w:vAlign w:val="center"/>
          </w:tcPr>
          <w:p w14:paraId="339CD20D" w14:textId="2E9955C2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支持基于端口的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VLAN，支持基于协议的VLAN；支持基于MAC的VLAN</w:t>
            </w:r>
          </w:p>
        </w:tc>
      </w:tr>
      <w:tr w:rsidR="001E50A8" w14:paraId="05134DBD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2A605B7F" w14:textId="060FE707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1F82B507" w14:textId="57A32F74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组播协议</w:t>
            </w:r>
          </w:p>
        </w:tc>
        <w:tc>
          <w:tcPr>
            <w:tcW w:w="3038" w:type="pct"/>
            <w:vAlign w:val="center"/>
          </w:tcPr>
          <w:p w14:paraId="106EC8A0" w14:textId="5C6C3275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支持IGMP v1/v2/v3，MLD v1/v2</w:t>
            </w:r>
          </w:p>
        </w:tc>
      </w:tr>
      <w:tr w:rsidR="001E50A8" w14:paraId="760F5251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79F5F2B0" w14:textId="2B1EB882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5099F432" w14:textId="4DA2CF42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网络可靠性</w:t>
            </w:r>
          </w:p>
        </w:tc>
        <w:tc>
          <w:tcPr>
            <w:tcW w:w="3038" w:type="pct"/>
            <w:vAlign w:val="center"/>
          </w:tcPr>
          <w:p w14:paraId="3D3A0645" w14:textId="6E52E19F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支持</w:t>
            </w:r>
            <w:r w:rsidR="00625042" w:rsidRPr="002366EF">
              <w:rPr>
                <w:rFonts w:ascii="宋体" w:eastAsia="宋体" w:hAnsi="宋体" w:cs="宋体" w:hint="eastAsia"/>
                <w:sz w:val="22"/>
                <w:szCs w:val="22"/>
              </w:rPr>
              <w:t>主流</w:t>
            </w:r>
            <w:r w:rsidR="00625042" w:rsidRPr="002366EF">
              <w:rPr>
                <w:rFonts w:ascii="宋体" w:eastAsia="宋体" w:hAnsi="宋体" w:cs="Segoe UI"/>
                <w:color w:val="05073B"/>
                <w:sz w:val="22"/>
                <w:szCs w:val="22"/>
                <w:shd w:val="clear" w:color="auto" w:fill="FDFDFE"/>
              </w:rPr>
              <w:t>环路检测协议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，环网故障恢复时间不超过50ms</w:t>
            </w:r>
          </w:p>
        </w:tc>
      </w:tr>
      <w:tr w:rsidR="001E50A8" w14:paraId="15C873D0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30884550" w14:textId="54991935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44D5D1AE" w14:textId="6B6C305D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访问控制策略</w:t>
            </w:r>
          </w:p>
        </w:tc>
        <w:tc>
          <w:tcPr>
            <w:tcW w:w="3038" w:type="pct"/>
            <w:vAlign w:val="center"/>
          </w:tcPr>
          <w:p w14:paraId="59D9DB8C" w14:textId="05D9DE4D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支持基于第二层、第三层的ACL；</w:t>
            </w:r>
          </w:p>
        </w:tc>
      </w:tr>
      <w:tr w:rsidR="001E50A8" w14:paraId="269B61B1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54A05250" w14:textId="1068F91F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460F9FE5" w14:textId="76D7ECB2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管理和维护</w:t>
            </w:r>
          </w:p>
        </w:tc>
        <w:tc>
          <w:tcPr>
            <w:tcW w:w="3038" w:type="pct"/>
            <w:vAlign w:val="center"/>
          </w:tcPr>
          <w:p w14:paraId="6075E9E8" w14:textId="06815238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支持SNMP V1/V2/V3、RMON、SSHV2</w:t>
            </w:r>
          </w:p>
        </w:tc>
      </w:tr>
      <w:tr w:rsidR="001E50A8" w14:paraId="0A8A6B3E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201007D5" w14:textId="2629DF33" w:rsidR="001E50A8" w:rsidRPr="002366EF" w:rsidRDefault="001E50A8" w:rsidP="00625042">
            <w:pPr>
              <w:pStyle w:val="aa"/>
              <w:numPr>
                <w:ilvl w:val="0"/>
                <w:numId w:val="11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55" w:type="pct"/>
            <w:vAlign w:val="center"/>
          </w:tcPr>
          <w:p w14:paraId="3248AAA7" w14:textId="2582A566" w:rsidR="001E50A8" w:rsidRPr="002366EF" w:rsidRDefault="001E50A8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配置要求</w:t>
            </w:r>
          </w:p>
        </w:tc>
        <w:tc>
          <w:tcPr>
            <w:tcW w:w="3038" w:type="pct"/>
            <w:vAlign w:val="center"/>
          </w:tcPr>
          <w:p w14:paraId="28C78D74" w14:textId="435D582D" w:rsidR="001E50A8" w:rsidRPr="002366EF" w:rsidRDefault="001E50A8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932469">
              <w:rPr>
                <w:rFonts w:ascii="宋体" w:eastAsia="宋体" w:hAnsi="宋体" w:cs="宋体" w:hint="eastAsia"/>
                <w:sz w:val="22"/>
                <w:szCs w:val="22"/>
              </w:rPr>
              <w:t>配置不小于双电源，双风扇，</w:t>
            </w:r>
            <w:r w:rsidR="00095567"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 w:rsidR="00095567">
              <w:rPr>
                <w:rFonts w:ascii="宋体" w:eastAsia="宋体" w:hAnsi="宋体" w:cs="宋体"/>
                <w:sz w:val="22"/>
                <w:szCs w:val="22"/>
              </w:rPr>
              <w:t>4</w:t>
            </w:r>
            <w:r w:rsidRPr="00932469">
              <w:rPr>
                <w:rFonts w:ascii="宋体" w:eastAsia="宋体" w:hAnsi="宋体" w:cs="宋体"/>
                <w:sz w:val="22"/>
                <w:szCs w:val="22"/>
              </w:rPr>
              <w:t>个万兆多模光模块，1根</w:t>
            </w:r>
            <w:r w:rsidR="00955AB9"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  <w:r w:rsidRPr="00932469">
              <w:rPr>
                <w:rFonts w:ascii="宋体" w:eastAsia="宋体" w:hAnsi="宋体" w:cs="宋体"/>
                <w:sz w:val="22"/>
                <w:szCs w:val="22"/>
              </w:rPr>
              <w:t>0G堆叠线</w:t>
            </w:r>
          </w:p>
        </w:tc>
      </w:tr>
    </w:tbl>
    <w:p w14:paraId="54D1DCE5" w14:textId="1F11E869" w:rsidR="007E543F" w:rsidRDefault="00DA6A3E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4.2 </w:t>
      </w:r>
      <w:r w:rsidR="001B1D15" w:rsidRPr="001B1D15">
        <w:rPr>
          <w:rFonts w:ascii="宋体" w:eastAsia="宋体" w:hAnsi="宋体" w:hint="eastAsia"/>
        </w:rPr>
        <w:t>交换机</w:t>
      </w:r>
      <w:r w:rsidR="001B1D15" w:rsidRPr="001B1D15">
        <w:rPr>
          <w:rFonts w:ascii="宋体" w:eastAsia="宋体" w:hAnsi="宋体"/>
        </w:rPr>
        <w:t>2的技术参数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09"/>
        <w:gridCol w:w="5182"/>
      </w:tblGrid>
      <w:tr w:rsidR="001E50A8" w:rsidRPr="004D0A40" w14:paraId="59F948C1" w14:textId="77777777" w:rsidTr="00625042">
        <w:trPr>
          <w:trHeight w:val="167"/>
        </w:trPr>
        <w:tc>
          <w:tcPr>
            <w:tcW w:w="907" w:type="pct"/>
          </w:tcPr>
          <w:p w14:paraId="50268817" w14:textId="55E90D39" w:rsidR="001E50A8" w:rsidRPr="002366EF" w:rsidRDefault="001E50A8" w:rsidP="00921E6D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70" w:type="pct"/>
            <w:vAlign w:val="center"/>
          </w:tcPr>
          <w:p w14:paraId="07E93C26" w14:textId="07973DB2" w:rsidR="001E50A8" w:rsidRPr="002366EF" w:rsidRDefault="001E50A8" w:rsidP="00921E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指标项</w:t>
            </w:r>
          </w:p>
        </w:tc>
        <w:tc>
          <w:tcPr>
            <w:tcW w:w="3123" w:type="pct"/>
            <w:vAlign w:val="center"/>
          </w:tcPr>
          <w:p w14:paraId="19B543DE" w14:textId="77777777" w:rsidR="001E50A8" w:rsidRPr="002366EF" w:rsidRDefault="001E50A8" w:rsidP="00921E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指标要求</w:t>
            </w:r>
          </w:p>
        </w:tc>
      </w:tr>
      <w:tr w:rsidR="001E50A8" w:rsidRPr="004D0A40" w14:paraId="7CE625FD" w14:textId="77777777" w:rsidTr="00625042">
        <w:trPr>
          <w:trHeight w:val="408"/>
        </w:trPr>
        <w:tc>
          <w:tcPr>
            <w:tcW w:w="907" w:type="pct"/>
            <w:vAlign w:val="center"/>
          </w:tcPr>
          <w:p w14:paraId="355803AC" w14:textId="6BE41877" w:rsidR="001E50A8" w:rsidRPr="002366EF" w:rsidRDefault="001E50A8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4B68FB4A" w14:textId="713FBD8F" w:rsidR="001E50A8" w:rsidRPr="002366EF" w:rsidRDefault="001E50A8" w:rsidP="00C65157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交换容量</w:t>
            </w:r>
          </w:p>
        </w:tc>
        <w:tc>
          <w:tcPr>
            <w:tcW w:w="3123" w:type="pct"/>
            <w:vAlign w:val="center"/>
          </w:tcPr>
          <w:p w14:paraId="157D244C" w14:textId="2944E71B" w:rsidR="001E50A8" w:rsidRPr="002366EF" w:rsidRDefault="001E50A8" w:rsidP="000E5120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≥6</w:t>
            </w:r>
            <w:r w:rsidR="00393B0E">
              <w:rPr>
                <w:rFonts w:ascii="宋体" w:eastAsia="宋体" w:hAnsi="宋体"/>
                <w:sz w:val="22"/>
                <w:szCs w:val="22"/>
              </w:rPr>
              <w:t>7</w:t>
            </w:r>
            <w:bookmarkStart w:id="1" w:name="_GoBack"/>
            <w:bookmarkEnd w:id="1"/>
            <w:r w:rsidR="000E5120" w:rsidRPr="002366EF">
              <w:rPr>
                <w:rFonts w:ascii="宋体" w:eastAsia="宋体" w:hAnsi="宋体"/>
                <w:sz w:val="22"/>
                <w:szCs w:val="22"/>
              </w:rPr>
              <w:t>0</w:t>
            </w:r>
            <w:r w:rsidRPr="002366EF">
              <w:rPr>
                <w:rFonts w:ascii="宋体" w:eastAsia="宋体" w:hAnsi="宋体" w:hint="eastAsia"/>
                <w:sz w:val="22"/>
                <w:szCs w:val="22"/>
              </w:rPr>
              <w:t>Gbps</w:t>
            </w:r>
          </w:p>
        </w:tc>
      </w:tr>
      <w:tr w:rsidR="001E50A8" w:rsidRPr="004D0A40" w14:paraId="4337B4FC" w14:textId="77777777" w:rsidTr="00625042">
        <w:trPr>
          <w:trHeight w:val="804"/>
        </w:trPr>
        <w:tc>
          <w:tcPr>
            <w:tcW w:w="907" w:type="pct"/>
            <w:vAlign w:val="center"/>
          </w:tcPr>
          <w:p w14:paraId="4AAED9CB" w14:textId="288B723C" w:rsidR="001E50A8" w:rsidRPr="002366EF" w:rsidRDefault="001E50A8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244C4576" w14:textId="0C91A68B" w:rsidR="001E50A8" w:rsidRPr="002366EF" w:rsidRDefault="001E50A8" w:rsidP="00C65157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转发性能</w:t>
            </w:r>
          </w:p>
        </w:tc>
        <w:tc>
          <w:tcPr>
            <w:tcW w:w="3123" w:type="pct"/>
            <w:vAlign w:val="center"/>
          </w:tcPr>
          <w:p w14:paraId="1D117EBC" w14:textId="1B957DD7" w:rsidR="001E50A8" w:rsidRPr="002366EF" w:rsidRDefault="001E50A8" w:rsidP="00C65157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包转发率≥200Mpps</w:t>
            </w:r>
          </w:p>
        </w:tc>
      </w:tr>
      <w:tr w:rsidR="001E50A8" w:rsidRPr="004D0A40" w14:paraId="277BC1A1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06E17ACE" w14:textId="08AA3BF2" w:rsidR="001E50A8" w:rsidRPr="002366EF" w:rsidRDefault="001E50A8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4B26F459" w14:textId="30E61C89" w:rsidR="001E50A8" w:rsidRPr="002366EF" w:rsidRDefault="001E50A8" w:rsidP="00C65157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交换机接口</w:t>
            </w:r>
          </w:p>
        </w:tc>
        <w:tc>
          <w:tcPr>
            <w:tcW w:w="3123" w:type="pct"/>
            <w:vAlign w:val="center"/>
          </w:tcPr>
          <w:p w14:paraId="3078DB24" w14:textId="332C9848" w:rsidR="001E50A8" w:rsidRPr="00932469" w:rsidRDefault="001E50A8" w:rsidP="00C65157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932469">
              <w:rPr>
                <w:rFonts w:ascii="宋体" w:eastAsia="宋体" w:hAnsi="宋体" w:hint="eastAsia"/>
                <w:sz w:val="22"/>
                <w:szCs w:val="22"/>
              </w:rPr>
              <w:t>≥48个千兆以太网</w:t>
            </w:r>
            <w:r w:rsidR="00774EBF" w:rsidRPr="00932469">
              <w:rPr>
                <w:rFonts w:ascii="宋体" w:eastAsia="宋体" w:hAnsi="宋体" w:hint="eastAsia"/>
                <w:sz w:val="22"/>
                <w:szCs w:val="22"/>
              </w:rPr>
              <w:t>电</w:t>
            </w:r>
            <w:r w:rsidRPr="00932469">
              <w:rPr>
                <w:rFonts w:ascii="宋体" w:eastAsia="宋体" w:hAnsi="宋体" w:hint="eastAsia"/>
                <w:sz w:val="22"/>
                <w:szCs w:val="22"/>
              </w:rPr>
              <w:t>口，</w:t>
            </w:r>
            <w:r w:rsidR="004B24E6" w:rsidRPr="00932469">
              <w:rPr>
                <w:rFonts w:ascii="宋体" w:eastAsia="宋体" w:hAnsi="宋体" w:cs="宋体" w:hint="eastAsia"/>
                <w:sz w:val="22"/>
                <w:szCs w:val="22"/>
              </w:rPr>
              <w:t>≥</w:t>
            </w:r>
            <w:r w:rsidRPr="00932469">
              <w:rPr>
                <w:rFonts w:ascii="宋体" w:eastAsia="宋体" w:hAnsi="宋体" w:hint="eastAsia"/>
                <w:sz w:val="22"/>
                <w:szCs w:val="22"/>
              </w:rPr>
              <w:t>4个万兆以太网光口</w:t>
            </w:r>
          </w:p>
        </w:tc>
      </w:tr>
      <w:tr w:rsidR="001E50A8" w:rsidRPr="004D0A40" w14:paraId="0407DABD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203F8571" w14:textId="05CA65B8" w:rsidR="001E50A8" w:rsidRPr="002366EF" w:rsidRDefault="001E50A8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2817000A" w14:textId="7AF83CC0" w:rsidR="001E50A8" w:rsidRPr="002366EF" w:rsidRDefault="001E50A8" w:rsidP="00C65157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ERPS</w:t>
            </w:r>
          </w:p>
        </w:tc>
        <w:tc>
          <w:tcPr>
            <w:tcW w:w="3123" w:type="pct"/>
            <w:vAlign w:val="center"/>
          </w:tcPr>
          <w:p w14:paraId="15694EFC" w14:textId="6FFE6D74" w:rsidR="001E50A8" w:rsidRPr="002366EF" w:rsidRDefault="001E50A8" w:rsidP="000E5120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要求具备ERPS功能，能够快速阻断环路，链路收敛</w:t>
            </w:r>
            <w:r w:rsidRPr="002366EF">
              <w:rPr>
                <w:rFonts w:ascii="宋体" w:eastAsia="宋体" w:hAnsi="宋体" w:hint="eastAsia"/>
                <w:sz w:val="22"/>
                <w:szCs w:val="22"/>
              </w:rPr>
              <w:lastRenderedPageBreak/>
              <w:t>时间≤</w:t>
            </w:r>
            <w:r w:rsidR="000E5120" w:rsidRPr="002366EF"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0E5120" w:rsidRPr="002366EF">
              <w:rPr>
                <w:rFonts w:ascii="宋体" w:eastAsia="宋体" w:hAnsi="宋体"/>
                <w:sz w:val="22"/>
                <w:szCs w:val="22"/>
              </w:rPr>
              <w:t>00</w:t>
            </w:r>
            <w:r w:rsidRPr="002366EF">
              <w:rPr>
                <w:rFonts w:ascii="宋体" w:eastAsia="宋体" w:hAnsi="宋体" w:hint="eastAsia"/>
                <w:sz w:val="22"/>
                <w:szCs w:val="22"/>
              </w:rPr>
              <w:t>ms</w:t>
            </w:r>
          </w:p>
        </w:tc>
      </w:tr>
      <w:tr w:rsidR="004B24E6" w:rsidRPr="004D0A40" w14:paraId="0B475BC8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25C4A6BF" w14:textId="40ACFD2A" w:rsidR="004B24E6" w:rsidRPr="002366EF" w:rsidRDefault="004B24E6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043DB10D" w14:textId="058B3C0F" w:rsidR="004B24E6" w:rsidRPr="002366EF" w:rsidRDefault="004B24E6" w:rsidP="004B24E6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芯片</w:t>
            </w:r>
          </w:p>
        </w:tc>
        <w:tc>
          <w:tcPr>
            <w:tcW w:w="3123" w:type="pct"/>
            <w:vAlign w:val="center"/>
          </w:tcPr>
          <w:p w14:paraId="4DBDF406" w14:textId="498BC30C" w:rsidR="004B24E6" w:rsidRPr="002366EF" w:rsidRDefault="004B24E6" w:rsidP="004B24E6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要求采用自主可控芯片</w:t>
            </w:r>
          </w:p>
        </w:tc>
      </w:tr>
      <w:tr w:rsidR="004B24E6" w:rsidRPr="004D0A40" w14:paraId="220041D3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4F9C35B6" w14:textId="4BF2A824" w:rsidR="004B24E6" w:rsidRPr="002366EF" w:rsidRDefault="004B24E6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3C5F392F" w14:textId="3FEF04E9" w:rsidR="004B24E6" w:rsidRPr="002366EF" w:rsidRDefault="004B24E6" w:rsidP="004B24E6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CPU保护</w:t>
            </w:r>
          </w:p>
        </w:tc>
        <w:tc>
          <w:tcPr>
            <w:tcW w:w="3123" w:type="pct"/>
            <w:vAlign w:val="center"/>
          </w:tcPr>
          <w:p w14:paraId="2C21A694" w14:textId="1EB429D9" w:rsidR="004B24E6" w:rsidRPr="002366EF" w:rsidRDefault="004B24E6" w:rsidP="004B24E6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要求具备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CPU保护功能，能限制非法报文对CPU的攻击，保护交换机在各种环境下稳定工作</w:t>
            </w:r>
          </w:p>
        </w:tc>
      </w:tr>
      <w:tr w:rsidR="004B24E6" w:rsidRPr="004D0A40" w14:paraId="2F1E4A2C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4D872447" w14:textId="37294FE9" w:rsidR="004B24E6" w:rsidRPr="002366EF" w:rsidRDefault="004B24E6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7EEA0F1E" w14:textId="36C56381" w:rsidR="004B24E6" w:rsidRPr="002366EF" w:rsidRDefault="004B24E6" w:rsidP="004B24E6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可视化</w:t>
            </w:r>
          </w:p>
        </w:tc>
        <w:tc>
          <w:tcPr>
            <w:tcW w:w="3123" w:type="pct"/>
            <w:vAlign w:val="center"/>
          </w:tcPr>
          <w:p w14:paraId="7452FF6F" w14:textId="307CCDA9" w:rsidR="004B24E6" w:rsidRPr="002366EF" w:rsidRDefault="004B24E6" w:rsidP="004B24E6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支持Telemetry，提供实时、准确的数据采集功能</w:t>
            </w:r>
          </w:p>
        </w:tc>
      </w:tr>
      <w:tr w:rsidR="004B24E6" w:rsidRPr="004D0A40" w14:paraId="4B077D10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71D92F47" w14:textId="46EB6786" w:rsidR="004B24E6" w:rsidRPr="002366EF" w:rsidRDefault="004B24E6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5BB3EA5A" w14:textId="54879E85" w:rsidR="004B24E6" w:rsidRPr="002366EF" w:rsidRDefault="004B24E6" w:rsidP="004B24E6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VLAN特性</w:t>
            </w:r>
          </w:p>
        </w:tc>
        <w:tc>
          <w:tcPr>
            <w:tcW w:w="3123" w:type="pct"/>
            <w:vAlign w:val="center"/>
          </w:tcPr>
          <w:p w14:paraId="203276E2" w14:textId="1E86B4B1" w:rsidR="004B24E6" w:rsidRPr="002366EF" w:rsidRDefault="004B24E6" w:rsidP="004B24E6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支持基于端口的VLAN，支持基于协议的VLAN</w:t>
            </w:r>
          </w:p>
        </w:tc>
      </w:tr>
      <w:tr w:rsidR="004B24E6" w:rsidRPr="004D0A40" w14:paraId="09F46613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3E6586B7" w14:textId="4FEF5D44" w:rsidR="004B24E6" w:rsidRPr="002366EF" w:rsidRDefault="004B24E6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55226E10" w14:textId="33F7A444" w:rsidR="004B24E6" w:rsidRPr="002366EF" w:rsidRDefault="004B24E6" w:rsidP="004B24E6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链路聚合</w:t>
            </w:r>
          </w:p>
        </w:tc>
        <w:tc>
          <w:tcPr>
            <w:tcW w:w="3123" w:type="pct"/>
            <w:vAlign w:val="center"/>
          </w:tcPr>
          <w:p w14:paraId="24E540D1" w14:textId="6CD72BA8" w:rsidR="004B24E6" w:rsidRPr="002366EF" w:rsidRDefault="004B24E6" w:rsidP="004B24E6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支持链路聚合基本功能</w:t>
            </w:r>
          </w:p>
        </w:tc>
      </w:tr>
      <w:tr w:rsidR="004B24E6" w:rsidRPr="004D0A40" w14:paraId="0408A719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5EE81DC7" w14:textId="2CD9CE86" w:rsidR="004B24E6" w:rsidRPr="002366EF" w:rsidRDefault="004B24E6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7FFC99B3" w14:textId="57EDF54B" w:rsidR="004B24E6" w:rsidRPr="002366EF" w:rsidRDefault="004B24E6" w:rsidP="004B24E6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镜像功能</w:t>
            </w:r>
          </w:p>
        </w:tc>
        <w:tc>
          <w:tcPr>
            <w:tcW w:w="3123" w:type="pct"/>
            <w:vAlign w:val="center"/>
          </w:tcPr>
          <w:p w14:paraId="18A16E14" w14:textId="672EA030" w:rsidR="004B24E6" w:rsidRPr="002366EF" w:rsidRDefault="004B24E6" w:rsidP="004B24E6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支持远程镜像、流镜像、端口镜像</w:t>
            </w:r>
          </w:p>
        </w:tc>
      </w:tr>
      <w:tr w:rsidR="004B24E6" w:rsidRPr="004D0A40" w14:paraId="623812D9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572923D6" w14:textId="3AD4B5D5" w:rsidR="004B24E6" w:rsidRPr="002366EF" w:rsidRDefault="004B24E6" w:rsidP="00A34771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5AFF158A" w14:textId="09CB4BD7" w:rsidR="004B24E6" w:rsidRPr="002366EF" w:rsidRDefault="004B24E6" w:rsidP="004B24E6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组播协议</w:t>
            </w:r>
          </w:p>
        </w:tc>
        <w:tc>
          <w:tcPr>
            <w:tcW w:w="3123" w:type="pct"/>
            <w:vAlign w:val="center"/>
          </w:tcPr>
          <w:p w14:paraId="06EA3676" w14:textId="4F83F6F7" w:rsidR="004B24E6" w:rsidRPr="002366EF" w:rsidRDefault="004B24E6" w:rsidP="004B24E6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支持IGMP Snooping v1/v2/v3，MLD Snooping v1/v2</w:t>
            </w:r>
          </w:p>
        </w:tc>
      </w:tr>
      <w:tr w:rsidR="00625042" w:rsidRPr="004D0A40" w14:paraId="18B35F68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1300C2B5" w14:textId="0D508D57" w:rsidR="00625042" w:rsidRPr="002366EF" w:rsidRDefault="00625042" w:rsidP="00625042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1C3801B3" w14:textId="6050B370" w:rsidR="00625042" w:rsidRPr="002366EF" w:rsidRDefault="00625042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网络可靠性</w:t>
            </w:r>
          </w:p>
        </w:tc>
        <w:tc>
          <w:tcPr>
            <w:tcW w:w="3123" w:type="pct"/>
            <w:vAlign w:val="center"/>
          </w:tcPr>
          <w:p w14:paraId="2BA5F4F7" w14:textId="5FAC45F1" w:rsidR="00625042" w:rsidRPr="002366EF" w:rsidRDefault="00625042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支持主流</w:t>
            </w:r>
            <w:r w:rsidRPr="002366EF">
              <w:rPr>
                <w:rFonts w:ascii="宋体" w:eastAsia="宋体" w:hAnsi="宋体" w:cs="Segoe UI"/>
                <w:color w:val="05073B"/>
                <w:sz w:val="22"/>
                <w:szCs w:val="22"/>
                <w:shd w:val="clear" w:color="auto" w:fill="FDFDFE"/>
              </w:rPr>
              <w:t>环路检测协议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，环网故障恢复时间不超过50ms</w:t>
            </w:r>
          </w:p>
        </w:tc>
      </w:tr>
      <w:tr w:rsidR="00625042" w:rsidRPr="004D0A40" w14:paraId="524FF6FD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19A64E23" w14:textId="664AF7BA" w:rsidR="00625042" w:rsidRPr="002366EF" w:rsidRDefault="00625042" w:rsidP="00625042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345FCAAF" w14:textId="1F3A4643" w:rsidR="00625042" w:rsidRPr="002366EF" w:rsidRDefault="00625042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路由协议</w:t>
            </w:r>
          </w:p>
        </w:tc>
        <w:tc>
          <w:tcPr>
            <w:tcW w:w="3123" w:type="pct"/>
            <w:vAlign w:val="center"/>
          </w:tcPr>
          <w:p w14:paraId="59EF745D" w14:textId="74C5E481" w:rsidR="00625042" w:rsidRPr="002366EF" w:rsidRDefault="00625042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cs="宋体" w:hint="eastAsia"/>
                <w:sz w:val="22"/>
                <w:szCs w:val="22"/>
              </w:rPr>
              <w:t>支持</w:t>
            </w:r>
            <w:r w:rsidRPr="002366EF">
              <w:rPr>
                <w:rFonts w:ascii="宋体" w:eastAsia="宋体" w:hAnsi="宋体" w:cs="宋体"/>
                <w:sz w:val="22"/>
                <w:szCs w:val="22"/>
              </w:rPr>
              <w:t>IPv4静态路由、RIP V1/V2、OSPF</w:t>
            </w:r>
          </w:p>
        </w:tc>
      </w:tr>
      <w:tr w:rsidR="00625042" w:rsidRPr="004D0A40" w14:paraId="5A850912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378EB2E5" w14:textId="650E9274" w:rsidR="00625042" w:rsidRPr="002366EF" w:rsidRDefault="00625042" w:rsidP="00625042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60C334A1" w14:textId="1C10475E" w:rsidR="00625042" w:rsidRPr="002366EF" w:rsidRDefault="00625042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访问控制策略</w:t>
            </w:r>
          </w:p>
        </w:tc>
        <w:tc>
          <w:tcPr>
            <w:tcW w:w="3123" w:type="pct"/>
            <w:vAlign w:val="center"/>
          </w:tcPr>
          <w:p w14:paraId="3BC6F3D5" w14:textId="5E0487A8" w:rsidR="00625042" w:rsidRPr="002366EF" w:rsidRDefault="00625042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支持基于第二层、第三层的ACL</w:t>
            </w:r>
          </w:p>
        </w:tc>
      </w:tr>
      <w:tr w:rsidR="00625042" w:rsidRPr="004D0A40" w14:paraId="33F5102E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43007A54" w14:textId="7B155DF4" w:rsidR="00625042" w:rsidRPr="002366EF" w:rsidRDefault="00625042" w:rsidP="00625042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3CB9D773" w14:textId="7871DB8C" w:rsidR="00625042" w:rsidRPr="002366EF" w:rsidRDefault="00625042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管理和维护</w:t>
            </w:r>
          </w:p>
        </w:tc>
        <w:tc>
          <w:tcPr>
            <w:tcW w:w="3123" w:type="pct"/>
            <w:vAlign w:val="center"/>
          </w:tcPr>
          <w:p w14:paraId="408B1D6F" w14:textId="0C9DC4FE" w:rsidR="00625042" w:rsidRPr="002366EF" w:rsidRDefault="00625042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支持SNMP V1/V2/V3、RMON、SSHV2</w:t>
            </w:r>
          </w:p>
        </w:tc>
      </w:tr>
      <w:tr w:rsidR="00625042" w:rsidRPr="004D0A40" w14:paraId="646F333A" w14:textId="77777777" w:rsidTr="00625042">
        <w:trPr>
          <w:trHeight w:val="672"/>
        </w:trPr>
        <w:tc>
          <w:tcPr>
            <w:tcW w:w="907" w:type="pct"/>
            <w:vAlign w:val="center"/>
          </w:tcPr>
          <w:p w14:paraId="335EC645" w14:textId="7DC25678" w:rsidR="00625042" w:rsidRPr="002366EF" w:rsidRDefault="00625042" w:rsidP="00625042">
            <w:pPr>
              <w:pStyle w:val="aa"/>
              <w:numPr>
                <w:ilvl w:val="0"/>
                <w:numId w:val="12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14:paraId="5B7A7AEB" w14:textId="0461B4B9" w:rsidR="00625042" w:rsidRPr="002366EF" w:rsidRDefault="00625042" w:rsidP="00625042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配置要求</w:t>
            </w:r>
          </w:p>
        </w:tc>
        <w:tc>
          <w:tcPr>
            <w:tcW w:w="3123" w:type="pct"/>
            <w:vAlign w:val="center"/>
          </w:tcPr>
          <w:p w14:paraId="04CA6AC8" w14:textId="5C2C0E61" w:rsidR="00625042" w:rsidRPr="002366EF" w:rsidRDefault="00625042" w:rsidP="00625042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2366EF">
              <w:rPr>
                <w:rFonts w:ascii="宋体" w:eastAsia="宋体" w:hAnsi="宋体" w:hint="eastAsia"/>
                <w:sz w:val="22"/>
                <w:szCs w:val="22"/>
              </w:rPr>
              <w:t>配置不小于双电源，</w:t>
            </w:r>
            <w:r w:rsidRPr="00932469">
              <w:rPr>
                <w:rFonts w:ascii="宋体" w:eastAsia="宋体" w:hAnsi="宋体" w:hint="eastAsia"/>
                <w:sz w:val="22"/>
                <w:szCs w:val="22"/>
              </w:rPr>
              <w:t>4个万兆多模光模块，</w:t>
            </w:r>
            <w:r w:rsidRPr="002366EF">
              <w:rPr>
                <w:rFonts w:ascii="宋体" w:eastAsia="宋体" w:hAnsi="宋体" w:hint="eastAsia"/>
                <w:sz w:val="22"/>
                <w:szCs w:val="22"/>
              </w:rPr>
              <w:t>1根万兆堆叠线</w:t>
            </w:r>
          </w:p>
        </w:tc>
      </w:tr>
    </w:tbl>
    <w:p w14:paraId="00A4DBFF" w14:textId="56227095" w:rsidR="007E543F" w:rsidRDefault="007E543F" w:rsidP="007E543F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.3 </w:t>
      </w:r>
      <w:r w:rsidRPr="007E543F">
        <w:rPr>
          <w:rFonts w:ascii="宋体" w:eastAsia="宋体" w:hAnsi="宋体" w:hint="eastAsia"/>
        </w:rPr>
        <w:t>防火墙</w:t>
      </w:r>
      <w:r w:rsidR="001B1D15">
        <w:rPr>
          <w:rFonts w:ascii="宋体" w:eastAsia="宋体" w:hAnsi="宋体" w:hint="eastAsia"/>
        </w:rPr>
        <w:t>的技术参数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85"/>
        <w:gridCol w:w="5606"/>
      </w:tblGrid>
      <w:tr w:rsidR="001E50A8" w:rsidRPr="004D0A40" w14:paraId="7E01AC83" w14:textId="77777777" w:rsidTr="001122ED">
        <w:trPr>
          <w:trHeight w:val="167"/>
        </w:trPr>
        <w:tc>
          <w:tcPr>
            <w:tcW w:w="907" w:type="pct"/>
          </w:tcPr>
          <w:p w14:paraId="701D4851" w14:textId="25E37DA7" w:rsidR="001E50A8" w:rsidRPr="001C468E" w:rsidRDefault="001E50A8" w:rsidP="00921E6D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14" w:type="pct"/>
            <w:vAlign w:val="center"/>
          </w:tcPr>
          <w:p w14:paraId="23524815" w14:textId="444A43F1" w:rsidR="001E50A8" w:rsidRPr="001C468E" w:rsidRDefault="001E50A8" w:rsidP="00921E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指标项</w:t>
            </w:r>
          </w:p>
        </w:tc>
        <w:tc>
          <w:tcPr>
            <w:tcW w:w="3379" w:type="pct"/>
            <w:vAlign w:val="center"/>
          </w:tcPr>
          <w:p w14:paraId="26A40933" w14:textId="77777777" w:rsidR="001E50A8" w:rsidRPr="001C468E" w:rsidRDefault="001E50A8" w:rsidP="00921E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指标要求</w:t>
            </w:r>
          </w:p>
        </w:tc>
      </w:tr>
      <w:tr w:rsidR="001E50A8" w:rsidRPr="004D0A40" w14:paraId="2D68CE77" w14:textId="77777777" w:rsidTr="001122ED">
        <w:trPr>
          <w:trHeight w:val="408"/>
        </w:trPr>
        <w:tc>
          <w:tcPr>
            <w:tcW w:w="907" w:type="pct"/>
            <w:vAlign w:val="center"/>
          </w:tcPr>
          <w:p w14:paraId="0C0B6C53" w14:textId="76CEB70A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21440644" w14:textId="2E6C4E7A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1C468E">
              <w:rPr>
                <w:rFonts w:ascii="宋体" w:eastAsia="宋体" w:hAnsi="宋体" w:cs="宋体" w:hint="eastAsia"/>
                <w:sz w:val="22"/>
                <w:szCs w:val="22"/>
              </w:rPr>
              <w:t>性能要求</w:t>
            </w:r>
          </w:p>
        </w:tc>
        <w:tc>
          <w:tcPr>
            <w:tcW w:w="3379" w:type="pct"/>
            <w:vAlign w:val="center"/>
          </w:tcPr>
          <w:p w14:paraId="49B12F1A" w14:textId="1337C07F" w:rsidR="001E50A8" w:rsidRPr="001C468E" w:rsidRDefault="001E50A8" w:rsidP="00921E6D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网络层吞吐量≥6Gbps，全威胁应用层吞吐量≥2Gbps，最大并发连接数≥</w:t>
            </w:r>
            <w:r w:rsidR="000E5120">
              <w:rPr>
                <w:rFonts w:ascii="宋体" w:eastAsia="宋体" w:hAnsi="宋体"/>
                <w:sz w:val="22"/>
                <w:szCs w:val="22"/>
              </w:rPr>
              <w:t>1</w:t>
            </w:r>
            <w:r w:rsidRPr="001C468E">
              <w:rPr>
                <w:rFonts w:ascii="宋体" w:eastAsia="宋体" w:hAnsi="宋体" w:hint="eastAsia"/>
                <w:sz w:val="22"/>
                <w:szCs w:val="22"/>
              </w:rPr>
              <w:t>00万，每秒最大新建连接数≥7万</w:t>
            </w:r>
          </w:p>
        </w:tc>
      </w:tr>
      <w:tr w:rsidR="001E50A8" w:rsidRPr="004D0A40" w14:paraId="337964B0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26ADCF58" w14:textId="7350F058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28C572CA" w14:textId="2D476300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端口要求</w:t>
            </w:r>
          </w:p>
        </w:tc>
        <w:tc>
          <w:tcPr>
            <w:tcW w:w="3379" w:type="pct"/>
            <w:vAlign w:val="center"/>
          </w:tcPr>
          <w:p w14:paraId="39D174C4" w14:textId="54BE531E" w:rsidR="001E50A8" w:rsidRPr="007E0DFB" w:rsidRDefault="0096730D" w:rsidP="00921E6D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7E0DFB">
              <w:rPr>
                <w:rFonts w:ascii="宋体" w:eastAsia="宋体" w:hAnsi="宋体" w:hint="eastAsia"/>
                <w:sz w:val="22"/>
                <w:szCs w:val="22"/>
              </w:rPr>
              <w:t>≥</w:t>
            </w:r>
            <w:r w:rsidRPr="007E0DFB">
              <w:rPr>
                <w:rFonts w:ascii="宋体" w:eastAsia="宋体" w:hAnsi="宋体"/>
                <w:sz w:val="22"/>
                <w:szCs w:val="22"/>
              </w:rPr>
              <w:t>1</w:t>
            </w:r>
            <w:r w:rsidR="00584E25">
              <w:rPr>
                <w:rFonts w:ascii="宋体" w:eastAsia="宋体" w:hAnsi="宋体"/>
                <w:sz w:val="22"/>
                <w:szCs w:val="22"/>
              </w:rPr>
              <w:t>5</w:t>
            </w:r>
            <w:r w:rsidRPr="007E0DFB">
              <w:rPr>
                <w:rFonts w:ascii="宋体" w:eastAsia="宋体" w:hAnsi="宋体"/>
                <w:sz w:val="22"/>
                <w:szCs w:val="22"/>
              </w:rPr>
              <w:t>个千兆电接口，</w:t>
            </w:r>
            <w:r w:rsidR="004B24E6" w:rsidRPr="007E0DFB">
              <w:rPr>
                <w:rFonts w:ascii="宋体" w:eastAsia="宋体" w:hAnsi="宋体" w:hint="eastAsia"/>
                <w:sz w:val="22"/>
                <w:szCs w:val="22"/>
              </w:rPr>
              <w:t>≥</w:t>
            </w:r>
            <w:r w:rsidRPr="007E0DFB">
              <w:rPr>
                <w:rFonts w:ascii="宋体" w:eastAsia="宋体" w:hAnsi="宋体"/>
                <w:sz w:val="22"/>
                <w:szCs w:val="22"/>
              </w:rPr>
              <w:t>4个千兆光接口，</w:t>
            </w:r>
            <w:r w:rsidR="004B24E6" w:rsidRPr="007E0DFB">
              <w:rPr>
                <w:rFonts w:ascii="宋体" w:eastAsia="宋体" w:hAnsi="宋体" w:hint="eastAsia"/>
                <w:sz w:val="22"/>
                <w:szCs w:val="22"/>
              </w:rPr>
              <w:t>≥</w:t>
            </w:r>
            <w:r w:rsidRPr="007E0DFB">
              <w:rPr>
                <w:rFonts w:ascii="宋体" w:eastAsia="宋体" w:hAnsi="宋体"/>
                <w:sz w:val="22"/>
                <w:szCs w:val="22"/>
              </w:rPr>
              <w:t>2个万兆光接口</w:t>
            </w:r>
          </w:p>
        </w:tc>
      </w:tr>
      <w:tr w:rsidR="001E50A8" w:rsidRPr="004D0A40" w14:paraId="0DC89890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6D64FADE" w14:textId="03214799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4047A791" w14:textId="74F81C5C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硬件架构</w:t>
            </w:r>
          </w:p>
        </w:tc>
        <w:tc>
          <w:tcPr>
            <w:tcW w:w="3379" w:type="pct"/>
            <w:vAlign w:val="center"/>
          </w:tcPr>
          <w:p w14:paraId="17F42F55" w14:textId="30D36352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采用多核架构，具备可插拔冗余电源模块，可插拔冗余风扇模块</w:t>
            </w:r>
          </w:p>
        </w:tc>
      </w:tr>
      <w:tr w:rsidR="001E50A8" w:rsidRPr="004D0A40" w14:paraId="4C5A5AEC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4D145BCA" w14:textId="2EC47427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6F148DC2" w14:textId="55F903D1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可靠性</w:t>
            </w:r>
          </w:p>
        </w:tc>
        <w:tc>
          <w:tcPr>
            <w:tcW w:w="3379" w:type="pct"/>
            <w:vAlign w:val="center"/>
          </w:tcPr>
          <w:p w14:paraId="028F3E6C" w14:textId="40E42BF2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支持配置备份和回滚，通过FTP发送到指定服务器</w:t>
            </w:r>
          </w:p>
        </w:tc>
      </w:tr>
      <w:tr w:rsidR="001E50A8" w:rsidRPr="004D0A40" w14:paraId="3EAF84E8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5421D43F" w14:textId="41A8BF28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705A4A24" w14:textId="21123FAF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部署模式</w:t>
            </w:r>
          </w:p>
        </w:tc>
        <w:tc>
          <w:tcPr>
            <w:tcW w:w="3379" w:type="pct"/>
            <w:vAlign w:val="center"/>
          </w:tcPr>
          <w:p w14:paraId="52DB35E5" w14:textId="28BC2497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支持路由模式、透明（网桥）模式、混合模式</w:t>
            </w:r>
          </w:p>
        </w:tc>
      </w:tr>
      <w:tr w:rsidR="001E50A8" w:rsidRPr="004D0A40" w14:paraId="4D909B26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7514A9F5" w14:textId="01BA3ADA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6E8A95A4" w14:textId="30D84D27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路由协议</w:t>
            </w:r>
          </w:p>
        </w:tc>
        <w:tc>
          <w:tcPr>
            <w:tcW w:w="3379" w:type="pct"/>
            <w:vAlign w:val="center"/>
          </w:tcPr>
          <w:p w14:paraId="559B9ADB" w14:textId="21D97D9B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支持静态路由、策略路由、RIP、OSPF、BGP、IS-IS等路由协议</w:t>
            </w:r>
          </w:p>
        </w:tc>
      </w:tr>
      <w:tr w:rsidR="001E50A8" w:rsidRPr="004D0A40" w14:paraId="75189882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1DF380FA" w14:textId="60705E16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3F9CE79B" w14:textId="34C8FF36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安全策略</w:t>
            </w:r>
          </w:p>
        </w:tc>
        <w:tc>
          <w:tcPr>
            <w:tcW w:w="3379" w:type="pct"/>
            <w:vAlign w:val="center"/>
          </w:tcPr>
          <w:p w14:paraId="016E073E" w14:textId="1EAD046C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支持一体化安全策略，能够基于源</w:t>
            </w:r>
            <w:r w:rsidRPr="001C468E">
              <w:rPr>
                <w:rFonts w:ascii="宋体" w:eastAsia="宋体" w:hAnsi="宋体"/>
                <w:sz w:val="22"/>
                <w:szCs w:val="22"/>
              </w:rPr>
              <w:t>/目的安全域、源IP/MAC地址、目的IP地址、地区、服务、时间、用户/用户组、应用层协议、五元组、内容安全（WAF、IPS、AV、URL过滤等）统一界面进行安全策略配置</w:t>
            </w:r>
          </w:p>
        </w:tc>
      </w:tr>
      <w:tr w:rsidR="001E50A8" w:rsidRPr="004D0A40" w14:paraId="62224E87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3B75F22A" w14:textId="51D6683B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4B9F9BE7" w14:textId="21A7BFCD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应用识别</w:t>
            </w:r>
          </w:p>
        </w:tc>
        <w:tc>
          <w:tcPr>
            <w:tcW w:w="3379" w:type="pct"/>
            <w:vAlign w:val="center"/>
          </w:tcPr>
          <w:p w14:paraId="452CC8DB" w14:textId="3CCA4DC6" w:rsidR="001E50A8" w:rsidRPr="001C468E" w:rsidRDefault="001E50A8" w:rsidP="000E5120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支持</w:t>
            </w:r>
            <w:r w:rsidR="004B24E6" w:rsidRPr="0096730D">
              <w:rPr>
                <w:rFonts w:ascii="宋体" w:eastAsia="宋体" w:hAnsi="宋体" w:hint="eastAsia"/>
                <w:sz w:val="22"/>
                <w:szCs w:val="22"/>
              </w:rPr>
              <w:t>≥</w:t>
            </w:r>
            <w:r w:rsidR="0096730D">
              <w:rPr>
                <w:rFonts w:ascii="宋体" w:eastAsia="宋体" w:hAnsi="宋体" w:hint="eastAsia"/>
                <w:sz w:val="22"/>
                <w:szCs w:val="22"/>
              </w:rPr>
              <w:t>6</w:t>
            </w:r>
            <w:r w:rsidRPr="001C468E">
              <w:rPr>
                <w:rFonts w:ascii="宋体" w:eastAsia="宋体" w:hAnsi="宋体"/>
                <w:sz w:val="22"/>
                <w:szCs w:val="22"/>
              </w:rPr>
              <w:t>000条的应用识别，且提示风险类型及风险级别，便于用户根据实际情况进行上网行为管理</w:t>
            </w:r>
          </w:p>
        </w:tc>
      </w:tr>
      <w:tr w:rsidR="001E50A8" w:rsidRPr="004D0A40" w14:paraId="1FC1F563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1AB0D948" w14:textId="2969820A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40B22F6A" w14:textId="36D8152B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URL过滤</w:t>
            </w:r>
          </w:p>
        </w:tc>
        <w:tc>
          <w:tcPr>
            <w:tcW w:w="3379" w:type="pct"/>
            <w:vAlign w:val="center"/>
          </w:tcPr>
          <w:p w14:paraId="0ED1C011" w14:textId="59748D83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支持联动云端URL地址库进行全面实施核查</w:t>
            </w:r>
          </w:p>
        </w:tc>
      </w:tr>
      <w:tr w:rsidR="0071366F" w:rsidRPr="004D0A40" w14:paraId="5C6382A7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642D43EE" w14:textId="77777777" w:rsidR="0071366F" w:rsidRPr="00A34771" w:rsidRDefault="0071366F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3793ED95" w14:textId="501EEE68" w:rsidR="0071366F" w:rsidRPr="001C468E" w:rsidRDefault="0071366F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71366F">
              <w:rPr>
                <w:rFonts w:ascii="宋体" w:eastAsia="宋体" w:hAnsi="宋体"/>
                <w:sz w:val="22"/>
                <w:szCs w:val="22"/>
              </w:rPr>
              <w:t>入侵防御</w:t>
            </w:r>
          </w:p>
        </w:tc>
        <w:tc>
          <w:tcPr>
            <w:tcW w:w="3379" w:type="pct"/>
            <w:vAlign w:val="center"/>
          </w:tcPr>
          <w:p w14:paraId="410E4B17" w14:textId="3BFEBCF4" w:rsidR="0071366F" w:rsidRPr="001C468E" w:rsidRDefault="0071366F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71366F">
              <w:rPr>
                <w:rFonts w:ascii="宋体" w:eastAsia="宋体" w:hAnsi="宋体"/>
                <w:sz w:val="22"/>
                <w:szCs w:val="22"/>
              </w:rPr>
              <w:t>支持对检测到的攻击行为的前后报文进行自动化抓包功能，方便用户对攻击行为进行取证</w:t>
            </w:r>
          </w:p>
        </w:tc>
      </w:tr>
      <w:tr w:rsidR="001E50A8" w:rsidRPr="004D0A40" w14:paraId="5B6B446F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52D17692" w14:textId="0B8588DE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7FDEF58E" w14:textId="354FD5FF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防病毒</w:t>
            </w:r>
          </w:p>
        </w:tc>
        <w:tc>
          <w:tcPr>
            <w:tcW w:w="3379" w:type="pct"/>
            <w:vAlign w:val="center"/>
          </w:tcPr>
          <w:p w14:paraId="277F584D" w14:textId="2A3419CC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支持基于文件协议、邮件协议（SMTP/POP3/iMAP)、共享协议（NFS/SMB）的病毒功能</w:t>
            </w:r>
          </w:p>
        </w:tc>
      </w:tr>
      <w:tr w:rsidR="0071366F" w:rsidRPr="004D0A40" w14:paraId="3DDD61EB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57F3CAF9" w14:textId="77777777" w:rsidR="0071366F" w:rsidRPr="00A34771" w:rsidRDefault="0071366F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3EBEA566" w14:textId="631D1332" w:rsidR="0071366F" w:rsidRPr="001C468E" w:rsidRDefault="0071366F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71366F">
              <w:rPr>
                <w:rFonts w:ascii="宋体" w:eastAsia="宋体" w:hAnsi="宋体"/>
                <w:sz w:val="22"/>
                <w:szCs w:val="22"/>
              </w:rPr>
              <w:t>流量控制</w:t>
            </w:r>
          </w:p>
        </w:tc>
        <w:tc>
          <w:tcPr>
            <w:tcW w:w="3379" w:type="pct"/>
            <w:vAlign w:val="center"/>
          </w:tcPr>
          <w:p w14:paraId="32DC05F5" w14:textId="7F21FD0B" w:rsidR="0071366F" w:rsidRPr="001C468E" w:rsidRDefault="0071366F" w:rsidP="0071366F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71366F">
              <w:rPr>
                <w:rFonts w:ascii="宋体" w:eastAsia="宋体" w:hAnsi="宋体"/>
                <w:sz w:val="22"/>
                <w:szCs w:val="22"/>
              </w:rPr>
              <w:t>可支持基于应用层协议设置流控策略，包括设置最大带宽、保证带宽、协议流量优先级等。要求支持带宽通道独占以及共享管理模式,支持父子带宽策略</w:t>
            </w:r>
          </w:p>
        </w:tc>
      </w:tr>
      <w:tr w:rsidR="001E50A8" w:rsidRPr="004D0A40" w14:paraId="45ADCF5E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20F33E65" w14:textId="1CE07568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42E47862" w14:textId="6923D663" w:rsidR="001E50A8" w:rsidRPr="001C468E" w:rsidRDefault="0096730D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高可用性</w:t>
            </w:r>
          </w:p>
        </w:tc>
        <w:tc>
          <w:tcPr>
            <w:tcW w:w="3379" w:type="pct"/>
            <w:vAlign w:val="center"/>
          </w:tcPr>
          <w:p w14:paraId="51EB29C2" w14:textId="47A4F7A0" w:rsidR="001E50A8" w:rsidRPr="001C468E" w:rsidRDefault="0096730D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2"/>
                <w:szCs w:val="22"/>
              </w:rPr>
              <w:t>支持VRRP协议，所投设备支持高可靠性（包含主备/主主模式）部署</w:t>
            </w:r>
          </w:p>
        </w:tc>
      </w:tr>
      <w:tr w:rsidR="001E50A8" w:rsidRPr="004D0A40" w14:paraId="7A1C74E8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4C5F47AA" w14:textId="6A04D891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37F92576" w14:textId="2EAD6097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设备管理</w:t>
            </w:r>
          </w:p>
        </w:tc>
        <w:tc>
          <w:tcPr>
            <w:tcW w:w="3379" w:type="pct"/>
            <w:vAlign w:val="center"/>
          </w:tcPr>
          <w:p w14:paraId="6C1EF150" w14:textId="322559E8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支持SNMPv1、SNMPv2、SNMPv3、RMON等网络管理协议，并且支持通过网管软件远程进行设备软件升级、配置等。</w:t>
            </w:r>
          </w:p>
        </w:tc>
      </w:tr>
      <w:tr w:rsidR="001E50A8" w:rsidRPr="004D0A40" w14:paraId="5B6778CA" w14:textId="77777777" w:rsidTr="001122ED">
        <w:trPr>
          <w:trHeight w:val="804"/>
        </w:trPr>
        <w:tc>
          <w:tcPr>
            <w:tcW w:w="907" w:type="pct"/>
            <w:vAlign w:val="center"/>
          </w:tcPr>
          <w:p w14:paraId="6D991C67" w14:textId="56F51EF2" w:rsidR="001E50A8" w:rsidRPr="00A34771" w:rsidRDefault="001E50A8" w:rsidP="00A34771">
            <w:pPr>
              <w:pStyle w:val="aa"/>
              <w:numPr>
                <w:ilvl w:val="0"/>
                <w:numId w:val="13"/>
              </w:numPr>
              <w:spacing w:afterLines="50" w:after="156" w:line="360" w:lineRule="auto"/>
              <w:ind w:firstLineChars="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14:paraId="30BDE962" w14:textId="7E4D112E" w:rsidR="001E50A8" w:rsidRPr="001C468E" w:rsidRDefault="001E50A8" w:rsidP="00921E6D">
            <w:pPr>
              <w:spacing w:afterLines="50" w:after="156" w:line="360" w:lineRule="auto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配置要求</w:t>
            </w:r>
          </w:p>
        </w:tc>
        <w:tc>
          <w:tcPr>
            <w:tcW w:w="3379" w:type="pct"/>
            <w:vAlign w:val="center"/>
          </w:tcPr>
          <w:p w14:paraId="00AF2D3F" w14:textId="7D854236" w:rsidR="001E50A8" w:rsidRPr="001C468E" w:rsidRDefault="001E50A8" w:rsidP="00921E6D">
            <w:pPr>
              <w:spacing w:line="360" w:lineRule="auto"/>
              <w:rPr>
                <w:rFonts w:ascii="宋体" w:eastAsia="宋体" w:hAnsi="宋体"/>
                <w:sz w:val="22"/>
                <w:szCs w:val="22"/>
              </w:rPr>
            </w:pPr>
            <w:r w:rsidRPr="001C468E">
              <w:rPr>
                <w:rFonts w:ascii="宋体" w:eastAsia="宋体" w:hAnsi="宋体" w:hint="eastAsia"/>
                <w:sz w:val="22"/>
                <w:szCs w:val="22"/>
              </w:rPr>
              <w:t>单台设备配置不小于双电源，</w:t>
            </w:r>
            <w:r w:rsidR="001122ED">
              <w:rPr>
                <w:rFonts w:ascii="宋体" w:eastAsia="宋体" w:hAnsi="宋体" w:hint="eastAsia"/>
                <w:sz w:val="22"/>
                <w:szCs w:val="22"/>
              </w:rPr>
              <w:t>4个千兆多模光模块，</w:t>
            </w:r>
            <w:r w:rsidRPr="001C468E">
              <w:rPr>
                <w:rFonts w:ascii="宋体" w:eastAsia="宋体" w:hAnsi="宋体" w:hint="eastAsia"/>
                <w:sz w:val="22"/>
                <w:szCs w:val="22"/>
              </w:rPr>
              <w:t>2个万兆多模光模块，3年AV、IPS、U</w:t>
            </w:r>
            <w:r w:rsidRPr="001C468E">
              <w:rPr>
                <w:rFonts w:ascii="宋体" w:eastAsia="宋体" w:hAnsi="宋体"/>
                <w:sz w:val="22"/>
                <w:szCs w:val="22"/>
              </w:rPr>
              <w:t>RL</w:t>
            </w:r>
            <w:r w:rsidRPr="001C468E">
              <w:rPr>
                <w:rFonts w:ascii="宋体" w:eastAsia="宋体" w:hAnsi="宋体" w:hint="eastAsia"/>
                <w:sz w:val="22"/>
                <w:szCs w:val="22"/>
              </w:rPr>
              <w:t>特征库升级授权license</w:t>
            </w:r>
          </w:p>
        </w:tc>
      </w:tr>
    </w:tbl>
    <w:p w14:paraId="20F5C0A9" w14:textId="69C177FB" w:rsidR="00BA06A8" w:rsidRDefault="00A448F4">
      <w:pPr>
        <w:pStyle w:val="1"/>
        <w:numPr>
          <w:ilvl w:val="0"/>
          <w:numId w:val="2"/>
        </w:numPr>
        <w:ind w:left="420" w:hanging="420"/>
        <w:rPr>
          <w:rFonts w:ascii="宋体" w:eastAsia="宋体" w:hAnsi="宋体"/>
        </w:rPr>
      </w:pPr>
      <w:r w:rsidRPr="00A448F4">
        <w:rPr>
          <w:rFonts w:ascii="宋体" w:eastAsia="宋体" w:hAnsi="宋体" w:hint="eastAsia"/>
        </w:rPr>
        <w:lastRenderedPageBreak/>
        <w:t>交货日期和项目工期</w:t>
      </w:r>
    </w:p>
    <w:p w14:paraId="320E421C" w14:textId="603E70B7" w:rsidR="00A448F4" w:rsidRPr="00A448F4" w:rsidRDefault="00A448F4" w:rsidP="00A448F4">
      <w:pPr>
        <w:widowControl/>
        <w:spacing w:line="420" w:lineRule="exact"/>
        <w:ind w:firstLineChars="200" w:firstLine="440"/>
        <w:jc w:val="left"/>
        <w:rPr>
          <w:rFonts w:ascii="宋体" w:eastAsia="宋体" w:hAnsi="宋体" w:cs="宋体"/>
          <w:sz w:val="22"/>
          <w:szCs w:val="22"/>
        </w:rPr>
      </w:pPr>
      <w:r w:rsidRPr="00A448F4">
        <w:rPr>
          <w:rFonts w:ascii="宋体" w:eastAsia="宋体" w:hAnsi="宋体" w:cs="宋体"/>
          <w:sz w:val="22"/>
          <w:szCs w:val="22"/>
        </w:rPr>
        <w:t>1</w:t>
      </w:r>
      <w:r w:rsidRPr="00A448F4">
        <w:rPr>
          <w:rFonts w:ascii="宋体" w:eastAsia="宋体" w:hAnsi="宋体" w:cs="宋体" w:hint="eastAsia"/>
          <w:sz w:val="22"/>
          <w:szCs w:val="22"/>
        </w:rPr>
        <w:t>、</w:t>
      </w:r>
      <w:r w:rsidRPr="00A448F4">
        <w:rPr>
          <w:rFonts w:ascii="宋体" w:eastAsia="宋体" w:hAnsi="宋体" w:cs="宋体"/>
          <w:sz w:val="22"/>
          <w:szCs w:val="22"/>
        </w:rPr>
        <w:t>供应商须在院方支付合同首款后的1</w:t>
      </w:r>
      <w:r w:rsidR="007D6340">
        <w:rPr>
          <w:rFonts w:ascii="宋体" w:eastAsia="宋体" w:hAnsi="宋体" w:cs="宋体"/>
          <w:sz w:val="22"/>
          <w:szCs w:val="22"/>
        </w:rPr>
        <w:t>0</w:t>
      </w:r>
      <w:r w:rsidRPr="00A448F4">
        <w:rPr>
          <w:rFonts w:ascii="宋体" w:eastAsia="宋体" w:hAnsi="宋体" w:cs="宋体"/>
          <w:sz w:val="22"/>
          <w:szCs w:val="22"/>
        </w:rPr>
        <w:t>个工作日内向院方提交采购清单中的物品。</w:t>
      </w:r>
    </w:p>
    <w:p w14:paraId="13A33B48" w14:textId="7C8FD07A" w:rsidR="00F51A4C" w:rsidRDefault="00A448F4" w:rsidP="00A448F4">
      <w:pPr>
        <w:widowControl/>
        <w:spacing w:line="420" w:lineRule="exact"/>
        <w:ind w:firstLineChars="200" w:firstLine="440"/>
        <w:jc w:val="left"/>
        <w:rPr>
          <w:rFonts w:ascii="宋体" w:eastAsia="宋体" w:hAnsi="宋体" w:cs="宋体"/>
          <w:sz w:val="22"/>
          <w:szCs w:val="22"/>
        </w:rPr>
      </w:pPr>
      <w:r w:rsidRPr="00A448F4">
        <w:rPr>
          <w:rFonts w:ascii="宋体" w:eastAsia="宋体" w:hAnsi="宋体" w:cs="宋体"/>
          <w:sz w:val="22"/>
          <w:szCs w:val="22"/>
        </w:rPr>
        <w:t>2</w:t>
      </w:r>
      <w:r w:rsidRPr="00A448F4">
        <w:rPr>
          <w:rFonts w:ascii="宋体" w:eastAsia="宋体" w:hAnsi="宋体" w:cs="宋体" w:hint="eastAsia"/>
          <w:sz w:val="22"/>
          <w:szCs w:val="22"/>
        </w:rPr>
        <w:t>、</w:t>
      </w:r>
      <w:r w:rsidRPr="00A448F4">
        <w:rPr>
          <w:rFonts w:ascii="宋体" w:eastAsia="宋体" w:hAnsi="宋体" w:cs="宋体"/>
          <w:sz w:val="22"/>
          <w:szCs w:val="22"/>
        </w:rPr>
        <w:t>交货日期以货物到达院方指定货运详细地址的日期为准。</w:t>
      </w:r>
    </w:p>
    <w:p w14:paraId="343DCEDC" w14:textId="3C3C17E7" w:rsidR="00A448F4" w:rsidRPr="00A448F4" w:rsidRDefault="00A448F4" w:rsidP="00A448F4">
      <w:pPr>
        <w:widowControl/>
        <w:spacing w:line="420" w:lineRule="exact"/>
        <w:ind w:firstLineChars="200" w:firstLine="440"/>
        <w:jc w:val="lef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3、</w:t>
      </w:r>
      <w:r w:rsidRPr="00A448F4">
        <w:rPr>
          <w:rFonts w:ascii="宋体" w:eastAsia="宋体" w:hAnsi="宋体" w:cs="宋体" w:hint="eastAsia"/>
          <w:sz w:val="22"/>
          <w:szCs w:val="22"/>
        </w:rPr>
        <w:t>项目工期：交货后3</w:t>
      </w:r>
      <w:r w:rsidRPr="00A448F4">
        <w:rPr>
          <w:rFonts w:ascii="宋体" w:eastAsia="宋体" w:hAnsi="宋体" w:cs="宋体"/>
          <w:sz w:val="22"/>
          <w:szCs w:val="22"/>
        </w:rPr>
        <w:t>0</w:t>
      </w:r>
      <w:r w:rsidRPr="00A448F4">
        <w:rPr>
          <w:rFonts w:ascii="宋体" w:eastAsia="宋体" w:hAnsi="宋体" w:cs="宋体" w:hint="eastAsia"/>
          <w:sz w:val="22"/>
          <w:szCs w:val="22"/>
        </w:rPr>
        <w:t>天内。</w:t>
      </w:r>
    </w:p>
    <w:p w14:paraId="018B4537" w14:textId="5A4E947C" w:rsidR="00BA06A8" w:rsidRDefault="00621DBE" w:rsidP="00F51A4C">
      <w:pPr>
        <w:pStyle w:val="1"/>
        <w:numPr>
          <w:ilvl w:val="0"/>
          <w:numId w:val="2"/>
        </w:numPr>
        <w:ind w:left="420" w:hanging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</w:t>
      </w:r>
      <w:r w:rsidR="00DA6A3E">
        <w:rPr>
          <w:rFonts w:ascii="宋体" w:eastAsia="宋体" w:hAnsi="宋体" w:hint="eastAsia"/>
        </w:rPr>
        <w:t>实施</w:t>
      </w:r>
      <w:r w:rsidR="00DA6A3E">
        <w:rPr>
          <w:rFonts w:ascii="宋体" w:eastAsia="宋体" w:hAnsi="宋体"/>
        </w:rPr>
        <w:t>要求</w:t>
      </w:r>
    </w:p>
    <w:p w14:paraId="55FD5B40" w14:textId="1A9CF469" w:rsidR="00610D66" w:rsidRPr="00610D66" w:rsidRDefault="00610D66" w:rsidP="00610D66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1、</w:t>
      </w:r>
      <w:r w:rsidR="00A448F4" w:rsidRPr="00610D66">
        <w:rPr>
          <w:rFonts w:ascii="宋体" w:eastAsia="宋体" w:hAnsi="宋体"/>
          <w:sz w:val="22"/>
          <w:szCs w:val="22"/>
        </w:rPr>
        <w:t>供应商应按时将货物送至院方指定货运详细地址。</w:t>
      </w:r>
    </w:p>
    <w:p w14:paraId="5D1D86E7" w14:textId="17B717F7" w:rsidR="00A448F4" w:rsidRPr="00610D66" w:rsidRDefault="00610D66" w:rsidP="00610D66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2、</w:t>
      </w:r>
      <w:r w:rsidRPr="00610D66">
        <w:rPr>
          <w:rFonts w:ascii="宋体" w:eastAsia="宋体" w:hAnsi="宋体" w:hint="eastAsia"/>
          <w:sz w:val="22"/>
          <w:szCs w:val="22"/>
        </w:rPr>
        <w:t>所有产品要求品牌与实际制造商一致，不要</w:t>
      </w:r>
      <w:r w:rsidRPr="00610D66">
        <w:rPr>
          <w:rFonts w:ascii="宋体" w:eastAsia="宋体" w:hAnsi="宋体"/>
          <w:sz w:val="22"/>
          <w:szCs w:val="22"/>
        </w:rPr>
        <w:t>OEM或贴牌产品</w:t>
      </w:r>
      <w:r w:rsidRPr="00610D66">
        <w:rPr>
          <w:rFonts w:ascii="宋体" w:eastAsia="宋体" w:hAnsi="宋体" w:hint="eastAsia"/>
          <w:sz w:val="22"/>
          <w:szCs w:val="22"/>
        </w:rPr>
        <w:t>。不得采用过期的或停产的设备</w:t>
      </w:r>
    </w:p>
    <w:p w14:paraId="50CD40E1" w14:textId="5FB2D766" w:rsidR="00A448F4" w:rsidRDefault="00ED5EF8" w:rsidP="00A448F4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/>
          <w:sz w:val="22"/>
          <w:szCs w:val="22"/>
        </w:rPr>
        <w:t>3</w:t>
      </w:r>
      <w:r w:rsidR="00A448F4" w:rsidRPr="00A448F4">
        <w:rPr>
          <w:rFonts w:ascii="宋体" w:eastAsia="宋体" w:hAnsi="宋体" w:hint="eastAsia"/>
          <w:sz w:val="22"/>
          <w:szCs w:val="22"/>
        </w:rPr>
        <w:t>、</w:t>
      </w:r>
      <w:r w:rsidR="00A448F4" w:rsidRPr="00A448F4">
        <w:rPr>
          <w:rFonts w:ascii="宋体" w:eastAsia="宋体" w:hAnsi="宋体"/>
          <w:sz w:val="22"/>
          <w:szCs w:val="22"/>
        </w:rPr>
        <w:t>交货完成的有效证明：供应商送货人，必须随货物提交交货签收单给院方收货人，交货签收单必须有院方、供应商两方的签字方有效。</w:t>
      </w:r>
    </w:p>
    <w:p w14:paraId="6AFE3B6B" w14:textId="45844C25" w:rsidR="00ED5EF8" w:rsidRPr="00387ECD" w:rsidRDefault="00ED5EF8" w:rsidP="00387ECD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4、</w:t>
      </w:r>
      <w:r w:rsidRPr="00A448F4">
        <w:rPr>
          <w:rFonts w:ascii="宋体" w:eastAsia="宋体" w:hAnsi="宋体"/>
          <w:sz w:val="22"/>
          <w:szCs w:val="22"/>
        </w:rPr>
        <w:t>供应商</w:t>
      </w:r>
      <w:r>
        <w:rPr>
          <w:rFonts w:ascii="宋体" w:eastAsia="宋体" w:hAnsi="宋体" w:hint="eastAsia"/>
          <w:sz w:val="22"/>
          <w:szCs w:val="22"/>
        </w:rPr>
        <w:t>须</w:t>
      </w:r>
      <w:r w:rsidRPr="00A448F4">
        <w:rPr>
          <w:rFonts w:ascii="宋体" w:eastAsia="宋体" w:hAnsi="宋体"/>
          <w:sz w:val="22"/>
          <w:szCs w:val="22"/>
        </w:rPr>
        <w:t>根据院方的需求</w:t>
      </w:r>
      <w:r>
        <w:rPr>
          <w:rFonts w:ascii="宋体" w:eastAsia="宋体" w:hAnsi="宋体" w:hint="eastAsia"/>
          <w:sz w:val="22"/>
          <w:szCs w:val="22"/>
        </w:rPr>
        <w:t>，</w:t>
      </w:r>
      <w:r w:rsidR="002B19DF" w:rsidRPr="002B19DF">
        <w:rPr>
          <w:rFonts w:ascii="宋体" w:eastAsia="宋体" w:hAnsi="宋体" w:hint="eastAsia"/>
          <w:sz w:val="22"/>
          <w:szCs w:val="22"/>
        </w:rPr>
        <w:t>提供针对</w:t>
      </w:r>
      <w:r w:rsidR="00387ECD">
        <w:rPr>
          <w:rFonts w:ascii="宋体" w:eastAsia="宋体" w:hAnsi="宋体" w:hint="eastAsia"/>
          <w:sz w:val="22"/>
          <w:szCs w:val="22"/>
        </w:rPr>
        <w:t>本次项目的</w:t>
      </w:r>
      <w:r w:rsidR="002B19DF" w:rsidRPr="002B19DF">
        <w:rPr>
          <w:rFonts w:ascii="宋体" w:eastAsia="宋体" w:hAnsi="宋体" w:hint="eastAsia"/>
          <w:sz w:val="22"/>
          <w:szCs w:val="22"/>
        </w:rPr>
        <w:t>整体网络设计规划服务</w:t>
      </w:r>
      <w:r w:rsidR="00387ECD">
        <w:rPr>
          <w:rFonts w:ascii="宋体" w:eastAsia="宋体" w:hAnsi="宋体" w:hint="eastAsia"/>
          <w:sz w:val="22"/>
          <w:szCs w:val="22"/>
        </w:rPr>
        <w:t>；</w:t>
      </w:r>
      <w:r w:rsidR="00387ECD" w:rsidRPr="00A448F4">
        <w:rPr>
          <w:rFonts w:ascii="宋体" w:eastAsia="宋体" w:hAnsi="宋体"/>
          <w:sz w:val="22"/>
          <w:szCs w:val="22"/>
        </w:rPr>
        <w:t>提交项目产品的安装、调试及实施方案，方案得到院方确认后实施，保证</w:t>
      </w:r>
      <w:r w:rsidR="000E6189">
        <w:rPr>
          <w:rFonts w:ascii="宋体" w:eastAsia="宋体" w:hAnsi="宋体" w:hint="eastAsia"/>
          <w:sz w:val="22"/>
          <w:szCs w:val="22"/>
        </w:rPr>
        <w:t>设备</w:t>
      </w:r>
      <w:r w:rsidR="00387ECD" w:rsidRPr="00A448F4">
        <w:rPr>
          <w:rFonts w:ascii="宋体" w:eastAsia="宋体" w:hAnsi="宋体"/>
          <w:sz w:val="22"/>
          <w:szCs w:val="22"/>
        </w:rPr>
        <w:t>按时、正常地投入运行。</w:t>
      </w:r>
    </w:p>
    <w:p w14:paraId="6D3EE654" w14:textId="4EE8AEF9" w:rsidR="00A448F4" w:rsidRPr="00A448F4" w:rsidRDefault="00387ECD" w:rsidP="00A448F4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/>
          <w:sz w:val="22"/>
          <w:szCs w:val="22"/>
        </w:rPr>
        <w:t>5</w:t>
      </w:r>
      <w:r w:rsidR="00A448F4" w:rsidRPr="00A448F4">
        <w:rPr>
          <w:rFonts w:ascii="宋体" w:eastAsia="宋体" w:hAnsi="宋体" w:hint="eastAsia"/>
          <w:sz w:val="22"/>
          <w:szCs w:val="22"/>
        </w:rPr>
        <w:t>、</w:t>
      </w:r>
      <w:r w:rsidR="00A448F4" w:rsidRPr="00A448F4">
        <w:rPr>
          <w:rFonts w:ascii="宋体" w:eastAsia="宋体" w:hAnsi="宋体"/>
          <w:sz w:val="22"/>
          <w:szCs w:val="22"/>
        </w:rPr>
        <w:t>供应商</w:t>
      </w:r>
      <w:r w:rsidR="00ED5EF8">
        <w:rPr>
          <w:rFonts w:ascii="宋体" w:eastAsia="宋体" w:hAnsi="宋体" w:hint="eastAsia"/>
          <w:sz w:val="22"/>
          <w:szCs w:val="22"/>
        </w:rPr>
        <w:t>须</w:t>
      </w:r>
      <w:r w:rsidR="00ED5EF8" w:rsidRPr="00A448F4">
        <w:rPr>
          <w:rFonts w:ascii="宋体" w:eastAsia="宋体" w:hAnsi="宋体"/>
          <w:sz w:val="22"/>
          <w:szCs w:val="22"/>
        </w:rPr>
        <w:t>按院方指定的安装日期、安装要求</w:t>
      </w:r>
      <w:r w:rsidR="00ED5EF8">
        <w:rPr>
          <w:rFonts w:ascii="宋体" w:eastAsia="宋体" w:hAnsi="宋体" w:hint="eastAsia"/>
          <w:sz w:val="22"/>
          <w:szCs w:val="22"/>
        </w:rPr>
        <w:t>进行</w:t>
      </w:r>
      <w:r w:rsidR="006F611F" w:rsidRPr="006F611F">
        <w:rPr>
          <w:rFonts w:ascii="宋体" w:eastAsia="宋体" w:hAnsi="宋体" w:hint="eastAsia"/>
          <w:sz w:val="22"/>
          <w:szCs w:val="22"/>
        </w:rPr>
        <w:t>本次采购设备的安装调试工作</w:t>
      </w:r>
      <w:r w:rsidR="00A448F4" w:rsidRPr="00A448F4">
        <w:rPr>
          <w:rFonts w:ascii="宋体" w:eastAsia="宋体" w:hAnsi="宋体"/>
          <w:sz w:val="22"/>
          <w:szCs w:val="22"/>
        </w:rPr>
        <w:t>。</w:t>
      </w:r>
      <w:r w:rsidR="00ED5EF8" w:rsidRPr="00ED5EF8">
        <w:rPr>
          <w:rFonts w:ascii="宋体" w:eastAsia="宋体" w:hAnsi="宋体" w:hint="eastAsia"/>
          <w:sz w:val="22"/>
          <w:szCs w:val="22"/>
        </w:rPr>
        <w:t>医院业务要求网络</w:t>
      </w:r>
      <w:r w:rsidR="00ED5EF8" w:rsidRPr="00ED5EF8">
        <w:rPr>
          <w:rFonts w:ascii="宋体" w:eastAsia="宋体" w:hAnsi="宋体"/>
          <w:sz w:val="22"/>
          <w:szCs w:val="22"/>
        </w:rPr>
        <w:t>7×24小时连续运行，在安装新的交换机时，必须尽量保证网络通信不中断。如果一定要暂停网络通信，实施供货商应制定详细周密的安装配置和系统割接方案，并且这些方案应经过充分的磋商论证和实验证明，在得到院方同意后方可付诸实施，不允许出现计划外断网的状况。</w:t>
      </w:r>
    </w:p>
    <w:p w14:paraId="3C279EFA" w14:textId="153F0A38" w:rsidR="00A448F4" w:rsidRPr="00ED5EF8" w:rsidRDefault="00A448F4" w:rsidP="00A448F4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 w:rsidRPr="00ED5EF8">
        <w:rPr>
          <w:rFonts w:ascii="宋体" w:eastAsia="宋体" w:hAnsi="宋体" w:hint="eastAsia"/>
          <w:sz w:val="22"/>
          <w:szCs w:val="22"/>
        </w:rPr>
        <w:t>6、安装调试所需的材料</w:t>
      </w:r>
      <w:r w:rsidR="00ED5EF8" w:rsidRPr="00ED5EF8">
        <w:rPr>
          <w:rFonts w:ascii="宋体" w:eastAsia="宋体" w:hAnsi="宋体" w:hint="eastAsia"/>
          <w:sz w:val="22"/>
          <w:szCs w:val="22"/>
        </w:rPr>
        <w:t>（单模、多模光纤、网线等）及</w:t>
      </w:r>
      <w:r w:rsidRPr="00ED5EF8">
        <w:rPr>
          <w:rFonts w:ascii="宋体" w:eastAsia="宋体" w:hAnsi="宋体" w:hint="eastAsia"/>
          <w:sz w:val="22"/>
          <w:szCs w:val="22"/>
        </w:rPr>
        <w:t>技术支持所需的任何费用均由供应商提供，项目不再支付任何额外的费用。</w:t>
      </w:r>
    </w:p>
    <w:p w14:paraId="3561FEA6" w14:textId="557D6140" w:rsidR="00A448F4" w:rsidRPr="00A448F4" w:rsidRDefault="00A448F4" w:rsidP="00A448F4">
      <w:pPr>
        <w:pStyle w:val="1"/>
        <w:numPr>
          <w:ilvl w:val="0"/>
          <w:numId w:val="2"/>
        </w:numPr>
        <w:ind w:left="420" w:hanging="420"/>
        <w:rPr>
          <w:rFonts w:ascii="宋体" w:eastAsia="宋体" w:hAnsi="宋体"/>
        </w:rPr>
      </w:pPr>
      <w:r w:rsidRPr="00A448F4">
        <w:rPr>
          <w:rFonts w:ascii="宋体" w:eastAsia="宋体" w:hAnsi="宋体" w:hint="eastAsia"/>
        </w:rPr>
        <w:t>验收</w:t>
      </w:r>
    </w:p>
    <w:p w14:paraId="024A2DF3" w14:textId="77777777" w:rsidR="00A448F4" w:rsidRPr="00A448F4" w:rsidRDefault="00A448F4" w:rsidP="00A448F4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 w:rsidRPr="00A448F4">
        <w:rPr>
          <w:rFonts w:ascii="宋体" w:eastAsia="宋体" w:hAnsi="宋体" w:hint="eastAsia"/>
          <w:sz w:val="22"/>
          <w:szCs w:val="22"/>
        </w:rPr>
        <w:t>1、验收标准：按原厂家产品标准。</w:t>
      </w:r>
    </w:p>
    <w:p w14:paraId="72D16FEF" w14:textId="77777777" w:rsidR="00A448F4" w:rsidRPr="00A448F4" w:rsidRDefault="00A448F4" w:rsidP="00A448F4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 w:rsidRPr="00A448F4">
        <w:rPr>
          <w:rFonts w:ascii="宋体" w:eastAsia="宋体" w:hAnsi="宋体"/>
          <w:sz w:val="22"/>
          <w:szCs w:val="22"/>
        </w:rPr>
        <w:t>2</w:t>
      </w:r>
      <w:r w:rsidRPr="00A448F4">
        <w:rPr>
          <w:rFonts w:ascii="宋体" w:eastAsia="宋体" w:hAnsi="宋体" w:hint="eastAsia"/>
          <w:sz w:val="22"/>
          <w:szCs w:val="22"/>
        </w:rPr>
        <w:t>、验收方式</w:t>
      </w:r>
    </w:p>
    <w:p w14:paraId="67C0078E" w14:textId="4B415AB8" w:rsidR="00A448F4" w:rsidRPr="00A448F4" w:rsidRDefault="00A448F4" w:rsidP="00A448F4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（</w:t>
      </w:r>
      <w:r w:rsidRPr="00A448F4">
        <w:rPr>
          <w:rFonts w:ascii="宋体" w:eastAsia="宋体" w:hAnsi="宋体"/>
          <w:sz w:val="22"/>
          <w:szCs w:val="22"/>
        </w:rPr>
        <w:t>1</w:t>
      </w:r>
      <w:r w:rsidRPr="00A448F4">
        <w:rPr>
          <w:rFonts w:ascii="宋体" w:eastAsia="宋体" w:hAnsi="宋体" w:hint="eastAsia"/>
          <w:sz w:val="22"/>
          <w:szCs w:val="22"/>
        </w:rPr>
        <w:t>）</w:t>
      </w:r>
      <w:r>
        <w:rPr>
          <w:rFonts w:ascii="宋体" w:eastAsia="宋体" w:hAnsi="宋体" w:hint="eastAsia"/>
          <w:sz w:val="22"/>
          <w:szCs w:val="22"/>
        </w:rPr>
        <w:t>院方</w:t>
      </w:r>
      <w:r w:rsidRPr="00A448F4">
        <w:rPr>
          <w:rFonts w:ascii="宋体" w:eastAsia="宋体" w:hAnsi="宋体" w:hint="eastAsia"/>
          <w:sz w:val="22"/>
          <w:szCs w:val="22"/>
        </w:rPr>
        <w:t>在货物安装完成并能正常运转之日起</w:t>
      </w:r>
      <w:r w:rsidRPr="00A448F4">
        <w:rPr>
          <w:rFonts w:ascii="宋体" w:eastAsia="宋体" w:hAnsi="宋体"/>
          <w:sz w:val="22"/>
          <w:szCs w:val="22"/>
        </w:rPr>
        <w:t>15</w:t>
      </w:r>
      <w:r w:rsidRPr="00A448F4">
        <w:rPr>
          <w:rFonts w:ascii="宋体" w:eastAsia="宋体" w:hAnsi="宋体" w:hint="eastAsia"/>
          <w:sz w:val="22"/>
          <w:szCs w:val="22"/>
        </w:rPr>
        <w:t>个工作日内组织验收。</w:t>
      </w:r>
    </w:p>
    <w:p w14:paraId="4CEEBA5C" w14:textId="22636008" w:rsidR="00A448F4" w:rsidRPr="00A448F4" w:rsidRDefault="00A448F4" w:rsidP="00A448F4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lastRenderedPageBreak/>
        <w:t>（2）</w:t>
      </w:r>
      <w:r w:rsidRPr="00A448F4">
        <w:rPr>
          <w:rFonts w:ascii="宋体" w:eastAsia="宋体" w:hAnsi="宋体" w:hint="eastAsia"/>
          <w:sz w:val="22"/>
          <w:szCs w:val="22"/>
        </w:rPr>
        <w:t>如有质量问题或包装破损严重的，</w:t>
      </w:r>
      <w:r w:rsidR="002C08F9">
        <w:rPr>
          <w:rFonts w:ascii="宋体" w:eastAsia="宋体" w:hAnsi="宋体" w:hint="eastAsia"/>
          <w:sz w:val="22"/>
          <w:szCs w:val="22"/>
        </w:rPr>
        <w:t>院方</w:t>
      </w:r>
      <w:r w:rsidRPr="00A448F4">
        <w:rPr>
          <w:rFonts w:ascii="宋体" w:eastAsia="宋体" w:hAnsi="宋体" w:hint="eastAsia"/>
          <w:sz w:val="22"/>
          <w:szCs w:val="22"/>
        </w:rPr>
        <w:t>应在货到7个工作日内出具书面说明并交</w:t>
      </w:r>
      <w:r w:rsidR="002C08F9">
        <w:rPr>
          <w:rFonts w:ascii="宋体" w:eastAsia="宋体" w:hAnsi="宋体" w:hint="eastAsia"/>
          <w:sz w:val="22"/>
          <w:szCs w:val="22"/>
        </w:rPr>
        <w:t>供应商</w:t>
      </w:r>
      <w:r w:rsidRPr="00A448F4">
        <w:rPr>
          <w:rFonts w:ascii="宋体" w:eastAsia="宋体" w:hAnsi="宋体" w:hint="eastAsia"/>
          <w:sz w:val="22"/>
          <w:szCs w:val="22"/>
        </w:rPr>
        <w:t>处理，否则</w:t>
      </w:r>
      <w:r w:rsidR="002C08F9">
        <w:rPr>
          <w:rFonts w:ascii="宋体" w:eastAsia="宋体" w:hAnsi="宋体" w:hint="eastAsia"/>
          <w:sz w:val="22"/>
          <w:szCs w:val="22"/>
        </w:rPr>
        <w:t>院方</w:t>
      </w:r>
      <w:r w:rsidRPr="00A448F4">
        <w:rPr>
          <w:rFonts w:ascii="宋体" w:eastAsia="宋体" w:hAnsi="宋体" w:hint="eastAsia"/>
          <w:sz w:val="22"/>
          <w:szCs w:val="22"/>
        </w:rPr>
        <w:t>有权拒收并要求赔偿。</w:t>
      </w:r>
    </w:p>
    <w:p w14:paraId="4608BE6C" w14:textId="1505FC63" w:rsidR="00A448F4" w:rsidRPr="00A448F4" w:rsidRDefault="00A448F4" w:rsidP="00A448F4">
      <w:pPr>
        <w:spacing w:line="360" w:lineRule="auto"/>
        <w:ind w:firstLineChars="200" w:firstLine="440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（3）</w:t>
      </w:r>
      <w:r w:rsidRPr="00A448F4">
        <w:rPr>
          <w:rFonts w:ascii="宋体" w:eastAsia="宋体" w:hAnsi="宋体" w:hint="eastAsia"/>
          <w:sz w:val="22"/>
          <w:szCs w:val="22"/>
        </w:rPr>
        <w:t>无论承运商为</w:t>
      </w:r>
      <w:r w:rsidR="002C08F9">
        <w:rPr>
          <w:rFonts w:ascii="宋体" w:eastAsia="宋体" w:hAnsi="宋体" w:hint="eastAsia"/>
          <w:sz w:val="22"/>
          <w:szCs w:val="22"/>
        </w:rPr>
        <w:t>供应商</w:t>
      </w:r>
      <w:r w:rsidRPr="00A448F4">
        <w:rPr>
          <w:rFonts w:ascii="宋体" w:eastAsia="宋体" w:hAnsi="宋体" w:hint="eastAsia"/>
          <w:sz w:val="22"/>
          <w:szCs w:val="22"/>
        </w:rPr>
        <w:t>所指定的其他方、或是</w:t>
      </w:r>
      <w:r w:rsidR="002C08F9">
        <w:rPr>
          <w:rFonts w:ascii="宋体" w:eastAsia="宋体" w:hAnsi="宋体" w:hint="eastAsia"/>
          <w:sz w:val="22"/>
          <w:szCs w:val="22"/>
        </w:rPr>
        <w:t>供应商</w:t>
      </w:r>
      <w:r w:rsidRPr="00A448F4">
        <w:rPr>
          <w:rFonts w:ascii="宋体" w:eastAsia="宋体" w:hAnsi="宋体" w:hint="eastAsia"/>
          <w:sz w:val="22"/>
          <w:szCs w:val="22"/>
        </w:rPr>
        <w:t>自身，</w:t>
      </w:r>
      <w:r w:rsidR="002C08F9">
        <w:rPr>
          <w:rFonts w:ascii="宋体" w:eastAsia="宋体" w:hAnsi="宋体" w:hint="eastAsia"/>
          <w:sz w:val="22"/>
          <w:szCs w:val="22"/>
        </w:rPr>
        <w:t>院方</w:t>
      </w:r>
      <w:r w:rsidRPr="00A448F4">
        <w:rPr>
          <w:rFonts w:ascii="宋体" w:eastAsia="宋体" w:hAnsi="宋体" w:hint="eastAsia"/>
          <w:sz w:val="22"/>
          <w:szCs w:val="22"/>
        </w:rPr>
        <w:t>仅凭交货完成的有效证明和验收合格文件为准，</w:t>
      </w:r>
      <w:r w:rsidR="002C08F9">
        <w:rPr>
          <w:rFonts w:ascii="宋体" w:eastAsia="宋体" w:hAnsi="宋体" w:hint="eastAsia"/>
          <w:sz w:val="22"/>
          <w:szCs w:val="22"/>
        </w:rPr>
        <w:t>供应商</w:t>
      </w:r>
      <w:r w:rsidRPr="00A448F4">
        <w:rPr>
          <w:rFonts w:ascii="宋体" w:eastAsia="宋体" w:hAnsi="宋体" w:hint="eastAsia"/>
          <w:sz w:val="22"/>
          <w:szCs w:val="22"/>
        </w:rPr>
        <w:t>与承运商之间因货物运输引起的一切纠纷自行解决，与</w:t>
      </w:r>
      <w:r w:rsidR="002C08F9">
        <w:rPr>
          <w:rFonts w:ascii="宋体" w:eastAsia="宋体" w:hAnsi="宋体" w:hint="eastAsia"/>
          <w:sz w:val="22"/>
          <w:szCs w:val="22"/>
        </w:rPr>
        <w:t>院方</w:t>
      </w:r>
      <w:r w:rsidRPr="00A448F4">
        <w:rPr>
          <w:rFonts w:ascii="宋体" w:eastAsia="宋体" w:hAnsi="宋体" w:hint="eastAsia"/>
          <w:sz w:val="22"/>
          <w:szCs w:val="22"/>
        </w:rPr>
        <w:t>无关。</w:t>
      </w:r>
    </w:p>
    <w:p w14:paraId="2E9B78B9" w14:textId="7A840049" w:rsidR="00BA06A8" w:rsidRDefault="00DA6A3E">
      <w:pPr>
        <w:pStyle w:val="1"/>
        <w:numPr>
          <w:ilvl w:val="0"/>
          <w:numId w:val="2"/>
        </w:numPr>
        <w:ind w:left="420" w:hanging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保修要求</w:t>
      </w:r>
    </w:p>
    <w:p w14:paraId="1EDF348B" w14:textId="6D0A2EB9" w:rsidR="00AB2460" w:rsidRDefault="00AB2460" w:rsidP="00823B61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 w:rsidRPr="00823B61">
        <w:rPr>
          <w:rFonts w:ascii="宋体" w:eastAsia="宋体" w:hAnsi="宋体" w:cs="宋体"/>
          <w:kern w:val="0"/>
          <w:sz w:val="22"/>
          <w:szCs w:val="22"/>
        </w:rPr>
        <w:t>1、项目提供</w:t>
      </w:r>
      <w:r w:rsidR="00E300D1">
        <w:rPr>
          <w:rFonts w:ascii="宋体" w:eastAsia="宋体" w:hAnsi="宋体" w:cs="宋体" w:hint="eastAsia"/>
          <w:kern w:val="0"/>
          <w:sz w:val="22"/>
          <w:szCs w:val="22"/>
        </w:rPr>
        <w:t>为期</w:t>
      </w:r>
      <w:r w:rsidR="00610D66">
        <w:rPr>
          <w:rFonts w:ascii="宋体" w:eastAsia="宋体" w:hAnsi="宋体" w:cs="宋体" w:hint="eastAsia"/>
          <w:kern w:val="0"/>
          <w:sz w:val="22"/>
          <w:szCs w:val="22"/>
        </w:rPr>
        <w:t>至少</w:t>
      </w:r>
      <w:r w:rsidRPr="00823B61">
        <w:rPr>
          <w:rFonts w:ascii="宋体" w:eastAsia="宋体" w:hAnsi="宋体" w:cs="宋体"/>
          <w:kern w:val="0"/>
          <w:sz w:val="22"/>
          <w:szCs w:val="22"/>
        </w:rPr>
        <w:t>三年保修服务，保修期自验收合格之日起计算。</w:t>
      </w:r>
    </w:p>
    <w:p w14:paraId="502CAE88" w14:textId="6BBA706F" w:rsidR="007004E8" w:rsidRDefault="007004E8" w:rsidP="00823B61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/>
          <w:kern w:val="0"/>
          <w:sz w:val="22"/>
          <w:szCs w:val="22"/>
        </w:rPr>
        <w:t>2</w:t>
      </w:r>
      <w:r>
        <w:rPr>
          <w:rFonts w:ascii="宋体" w:eastAsia="宋体" w:hAnsi="宋体" w:cs="宋体" w:hint="eastAsia"/>
          <w:kern w:val="0"/>
          <w:sz w:val="22"/>
          <w:szCs w:val="22"/>
        </w:rPr>
        <w:t>、</w:t>
      </w:r>
      <w:r w:rsidRPr="009E15BA">
        <w:rPr>
          <w:rFonts w:ascii="宋体" w:eastAsia="宋体" w:hAnsi="宋体" w:cs="宋体" w:hint="eastAsia"/>
          <w:kern w:val="0"/>
          <w:sz w:val="22"/>
          <w:szCs w:val="22"/>
        </w:rPr>
        <w:t>在免费维护期内，乙方提供技术支持和指导，以及应用系统的局部改进完善以及故障情况下的现场问题解决。</w:t>
      </w:r>
    </w:p>
    <w:p w14:paraId="6A785572" w14:textId="16FE937F" w:rsidR="007004E8" w:rsidRDefault="007004E8" w:rsidP="00823B61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3、</w:t>
      </w:r>
      <w:r w:rsidRPr="00823B61">
        <w:rPr>
          <w:rFonts w:ascii="宋体" w:eastAsia="宋体" w:hAnsi="宋体" w:cs="宋体"/>
          <w:kern w:val="0"/>
          <w:sz w:val="22"/>
          <w:szCs w:val="22"/>
        </w:rPr>
        <w:t>售后服务：提供</w:t>
      </w:r>
      <w:r w:rsidRPr="007004E8">
        <w:rPr>
          <w:rFonts w:ascii="宋体" w:eastAsia="宋体" w:hAnsi="宋体" w:cs="宋体"/>
          <w:kern w:val="0"/>
          <w:sz w:val="22"/>
          <w:szCs w:val="22"/>
        </w:rPr>
        <w:t>7*24小时服务热线，安排合格的技术工程师提供技术热线。</w:t>
      </w:r>
    </w:p>
    <w:p w14:paraId="3F6D2D41" w14:textId="3367602D" w:rsidR="007004E8" w:rsidRDefault="007004E8" w:rsidP="007004E8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4、</w:t>
      </w:r>
      <w:r w:rsidRPr="007004E8">
        <w:rPr>
          <w:rFonts w:ascii="宋体" w:eastAsia="宋体" w:hAnsi="宋体" w:cs="宋体" w:hint="eastAsia"/>
          <w:kern w:val="0"/>
          <w:sz w:val="22"/>
          <w:szCs w:val="22"/>
        </w:rPr>
        <w:t>如果项目实施产出物或项目在质保期内出现一般性故障，乙方应在接到甲方报修立即做出处理响应；如果项目实施产出物或项目在质保期内出现重大故障，乙方应立即派遣工程技术人员用最快捷的交通工具在</w:t>
      </w:r>
      <w:r w:rsidRPr="007004E8">
        <w:rPr>
          <w:rFonts w:ascii="宋体" w:eastAsia="宋体" w:hAnsi="宋体" w:cs="宋体"/>
          <w:kern w:val="0"/>
          <w:sz w:val="22"/>
          <w:szCs w:val="22"/>
        </w:rPr>
        <w:t>30分钟内（含本数）前往现场处理。乙方需提出解决方案，工作至故障修妥完全恢复正常服务为止，一旦故障引起业务中断，2小时无法恢复业务，</w:t>
      </w:r>
      <w:r w:rsidR="008A7D62">
        <w:rPr>
          <w:rFonts w:ascii="宋体" w:eastAsia="宋体" w:hAnsi="宋体" w:cs="宋体" w:hint="eastAsia"/>
          <w:kern w:val="0"/>
          <w:sz w:val="22"/>
          <w:szCs w:val="22"/>
        </w:rPr>
        <w:t>须</w:t>
      </w:r>
      <w:r w:rsidRPr="00914AEC">
        <w:rPr>
          <w:rFonts w:ascii="宋体" w:eastAsia="宋体" w:hAnsi="宋体" w:cs="宋体" w:hint="eastAsia"/>
          <w:kern w:val="0"/>
          <w:sz w:val="22"/>
          <w:szCs w:val="22"/>
        </w:rPr>
        <w:t>提供备件先行服务</w:t>
      </w:r>
      <w:r>
        <w:rPr>
          <w:rFonts w:ascii="宋体" w:eastAsia="宋体" w:hAnsi="宋体" w:cs="宋体" w:hint="eastAsia"/>
          <w:kern w:val="0"/>
          <w:sz w:val="22"/>
          <w:szCs w:val="22"/>
        </w:rPr>
        <w:t>。</w:t>
      </w:r>
    </w:p>
    <w:p w14:paraId="4CB27602" w14:textId="086EDC80" w:rsidR="00581577" w:rsidRPr="007004E8" w:rsidRDefault="00581577" w:rsidP="007004E8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5、</w:t>
      </w:r>
      <w:r w:rsidRPr="00581577">
        <w:rPr>
          <w:rFonts w:ascii="宋体" w:eastAsia="宋体" w:hAnsi="宋体" w:cs="宋体" w:hint="eastAsia"/>
          <w:kern w:val="0"/>
          <w:sz w:val="22"/>
          <w:szCs w:val="22"/>
        </w:rPr>
        <w:t>乙方应作出无推诿承诺。即乙方在收到甲方报修通知及要求后，须立即派技术人员到场，全力协助、使系统尽快恢复正常。</w:t>
      </w:r>
    </w:p>
    <w:p w14:paraId="4A035C3E" w14:textId="4EDFC7C1" w:rsidR="009E15BA" w:rsidRPr="009E15BA" w:rsidRDefault="00581577" w:rsidP="007004E8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/>
          <w:kern w:val="0"/>
          <w:sz w:val="22"/>
          <w:szCs w:val="22"/>
        </w:rPr>
        <w:t>6</w:t>
      </w:r>
      <w:r w:rsidR="00AB2460" w:rsidRPr="00823B61">
        <w:rPr>
          <w:rFonts w:ascii="宋体" w:eastAsia="宋体" w:hAnsi="宋体" w:cs="宋体"/>
          <w:kern w:val="0"/>
          <w:sz w:val="22"/>
          <w:szCs w:val="22"/>
        </w:rPr>
        <w:t>、在维护期结束前，须由</w:t>
      </w:r>
      <w:r w:rsidR="00823B61" w:rsidRPr="00823B61">
        <w:rPr>
          <w:rFonts w:ascii="宋体" w:eastAsia="宋体" w:hAnsi="宋体" w:cs="宋体" w:hint="eastAsia"/>
          <w:kern w:val="0"/>
          <w:sz w:val="22"/>
          <w:szCs w:val="22"/>
        </w:rPr>
        <w:t>供应商</w:t>
      </w:r>
      <w:r w:rsidR="00AB2460" w:rsidRPr="00823B61">
        <w:rPr>
          <w:rFonts w:ascii="宋体" w:eastAsia="宋体" w:hAnsi="宋体" w:cs="宋体"/>
          <w:kern w:val="0"/>
          <w:sz w:val="22"/>
          <w:szCs w:val="22"/>
        </w:rPr>
        <w:t>和院方进行一次全面检查，任何缺陷必须由供货方负责修复，在修复之后，供货方应将缺陷原因、修复内容、完成修理及恢复正常的时间和日期等报告给院方，形成项目总结报告。</w:t>
      </w:r>
    </w:p>
    <w:p w14:paraId="4607BEDC" w14:textId="4CBDE9D5" w:rsidR="00AB2460" w:rsidRPr="00823B61" w:rsidRDefault="00581577" w:rsidP="00823B61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/>
          <w:kern w:val="0"/>
          <w:sz w:val="22"/>
          <w:szCs w:val="22"/>
        </w:rPr>
        <w:t>7</w:t>
      </w:r>
      <w:r w:rsidR="00AB2460" w:rsidRPr="00823B61">
        <w:rPr>
          <w:rFonts w:ascii="宋体" w:eastAsia="宋体" w:hAnsi="宋体" w:cs="宋体"/>
          <w:kern w:val="0"/>
          <w:sz w:val="22"/>
          <w:szCs w:val="22"/>
        </w:rPr>
        <w:t>、超过本合同约定维护期的，双方另行协商签订维护合同，信息设备（产品）的维护报价不超过合同信息设备（产品）部分金额的5%。</w:t>
      </w:r>
    </w:p>
    <w:p w14:paraId="7C39CD6E" w14:textId="40CF63AE" w:rsidR="00BA06A8" w:rsidRDefault="00FC4A5E" w:rsidP="00FC4A5E">
      <w:pPr>
        <w:pStyle w:val="1"/>
        <w:numPr>
          <w:ilvl w:val="0"/>
          <w:numId w:val="2"/>
        </w:numPr>
        <w:ind w:left="420" w:hanging="420"/>
        <w:rPr>
          <w:rFonts w:ascii="宋体" w:eastAsia="宋体" w:hAnsi="宋体"/>
        </w:rPr>
      </w:pPr>
      <w:r w:rsidRPr="00FC4A5E">
        <w:rPr>
          <w:rFonts w:ascii="宋体" w:eastAsia="宋体" w:hAnsi="宋体" w:hint="eastAsia"/>
        </w:rPr>
        <w:t>培训</w:t>
      </w:r>
    </w:p>
    <w:p w14:paraId="7A5CA5C8" w14:textId="20E2EEE0" w:rsidR="00FC4A5E" w:rsidRPr="00FC4A5E" w:rsidRDefault="00FC4A5E" w:rsidP="00FC4A5E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 w:rsidRPr="00FC4A5E">
        <w:rPr>
          <w:rFonts w:ascii="宋体" w:eastAsia="宋体" w:hAnsi="宋体" w:cs="宋体"/>
          <w:kern w:val="0"/>
          <w:sz w:val="22"/>
          <w:szCs w:val="22"/>
        </w:rPr>
        <w:t>1、</w:t>
      </w:r>
      <w:r w:rsidRPr="00FC4A5E">
        <w:rPr>
          <w:rFonts w:ascii="宋体" w:eastAsia="宋体" w:hAnsi="宋体" w:cs="宋体" w:hint="eastAsia"/>
          <w:kern w:val="0"/>
          <w:sz w:val="22"/>
          <w:szCs w:val="22"/>
        </w:rPr>
        <w:t>供应商需承诺提供不少于</w:t>
      </w:r>
      <w:r w:rsidR="00181F7A">
        <w:rPr>
          <w:rFonts w:ascii="宋体" w:eastAsia="宋体" w:hAnsi="宋体" w:cs="宋体"/>
          <w:kern w:val="0"/>
          <w:sz w:val="22"/>
          <w:szCs w:val="22"/>
        </w:rPr>
        <w:t>1</w:t>
      </w:r>
      <w:r w:rsidRPr="00FC4A5E">
        <w:rPr>
          <w:rFonts w:ascii="宋体" w:eastAsia="宋体" w:hAnsi="宋体" w:cs="宋体"/>
          <w:kern w:val="0"/>
          <w:sz w:val="22"/>
          <w:szCs w:val="22"/>
        </w:rPr>
        <w:t>天不少于</w:t>
      </w:r>
      <w:r>
        <w:rPr>
          <w:rFonts w:ascii="宋体" w:eastAsia="宋体" w:hAnsi="宋体" w:cs="宋体"/>
          <w:kern w:val="0"/>
          <w:sz w:val="22"/>
          <w:szCs w:val="22"/>
        </w:rPr>
        <w:t>2</w:t>
      </w:r>
      <w:r w:rsidRPr="00FC4A5E">
        <w:rPr>
          <w:rFonts w:ascii="宋体" w:eastAsia="宋体" w:hAnsi="宋体" w:cs="宋体"/>
          <w:kern w:val="0"/>
          <w:sz w:val="22"/>
          <w:szCs w:val="22"/>
        </w:rPr>
        <w:t>人的工程师安装配置等实操培训课程，场地、交通等与培训相关的费用均由供应商承担。</w:t>
      </w:r>
    </w:p>
    <w:p w14:paraId="0DBCD26A" w14:textId="21C611AF" w:rsidR="00FC4A5E" w:rsidRDefault="00FC4A5E" w:rsidP="00FC4A5E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 w:rsidRPr="00FC4A5E">
        <w:rPr>
          <w:rFonts w:ascii="宋体" w:eastAsia="宋体" w:hAnsi="宋体" w:cs="宋体"/>
          <w:kern w:val="0"/>
          <w:sz w:val="22"/>
          <w:szCs w:val="22"/>
        </w:rPr>
        <w:lastRenderedPageBreak/>
        <w:t>2、</w:t>
      </w:r>
      <w:r w:rsidRPr="00FC4A5E">
        <w:rPr>
          <w:rFonts w:ascii="宋体" w:eastAsia="宋体" w:hAnsi="宋体" w:cs="宋体" w:hint="eastAsia"/>
          <w:kern w:val="0"/>
          <w:sz w:val="22"/>
          <w:szCs w:val="22"/>
        </w:rPr>
        <w:t>供应商</w:t>
      </w:r>
      <w:r w:rsidRPr="00FC4A5E">
        <w:rPr>
          <w:rFonts w:ascii="宋体" w:eastAsia="宋体" w:hAnsi="宋体" w:cs="宋体"/>
          <w:kern w:val="0"/>
          <w:sz w:val="22"/>
          <w:szCs w:val="22"/>
        </w:rPr>
        <w:t>应提出详细的培训计划，提供培训教材。技术培训的内容必须覆盖产品的安装、日常操作和管理维护，以及基本的故障诊断与排错，并保证培训效果。</w:t>
      </w:r>
    </w:p>
    <w:p w14:paraId="46A1254A" w14:textId="79A2BAAE" w:rsidR="00FC4A5E" w:rsidRDefault="00FC4A5E" w:rsidP="00FC4A5E">
      <w:pPr>
        <w:pStyle w:val="1"/>
        <w:numPr>
          <w:ilvl w:val="0"/>
          <w:numId w:val="2"/>
        </w:numPr>
        <w:ind w:left="420" w:hanging="420"/>
        <w:rPr>
          <w:rFonts w:ascii="宋体" w:eastAsia="宋体" w:hAnsi="宋体"/>
        </w:rPr>
      </w:pPr>
      <w:r w:rsidRPr="00FC4A5E">
        <w:rPr>
          <w:rFonts w:ascii="宋体" w:eastAsia="宋体" w:hAnsi="宋体" w:hint="eastAsia"/>
        </w:rPr>
        <w:t>合同付款方式</w:t>
      </w:r>
    </w:p>
    <w:p w14:paraId="15175299" w14:textId="32B3CD6E" w:rsidR="00FC4A5E" w:rsidRPr="00FC4A5E" w:rsidRDefault="00FC4A5E" w:rsidP="00FC4A5E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 w:rsidRPr="00FC4A5E">
        <w:rPr>
          <w:rFonts w:ascii="宋体" w:eastAsia="宋体" w:hAnsi="宋体" w:cs="宋体"/>
          <w:kern w:val="0"/>
          <w:sz w:val="22"/>
          <w:szCs w:val="22"/>
        </w:rPr>
        <w:t>1、合同签订后，</w:t>
      </w:r>
      <w:r w:rsidR="00823B61">
        <w:rPr>
          <w:rFonts w:ascii="宋体" w:eastAsia="宋体" w:hAnsi="宋体" w:cs="宋体" w:hint="eastAsia"/>
          <w:kern w:val="0"/>
          <w:sz w:val="22"/>
          <w:szCs w:val="22"/>
        </w:rPr>
        <w:t>院方</w:t>
      </w:r>
      <w:r w:rsidRPr="00FC4A5E">
        <w:rPr>
          <w:rFonts w:ascii="宋体" w:eastAsia="宋体" w:hAnsi="宋体" w:cs="宋体"/>
          <w:kern w:val="0"/>
          <w:sz w:val="22"/>
          <w:szCs w:val="22"/>
        </w:rPr>
        <w:t>在收到</w:t>
      </w:r>
      <w:r>
        <w:rPr>
          <w:rFonts w:ascii="宋体" w:eastAsia="宋体" w:hAnsi="宋体" w:cs="宋体" w:hint="eastAsia"/>
          <w:kern w:val="0"/>
          <w:sz w:val="22"/>
          <w:szCs w:val="22"/>
        </w:rPr>
        <w:t>供应商</w:t>
      </w:r>
      <w:r w:rsidRPr="00FC4A5E">
        <w:rPr>
          <w:rFonts w:ascii="宋体" w:eastAsia="宋体" w:hAnsi="宋体" w:cs="宋体"/>
          <w:kern w:val="0"/>
          <w:sz w:val="22"/>
          <w:szCs w:val="22"/>
        </w:rPr>
        <w:t>开具相应金额正式发票后，向</w:t>
      </w:r>
      <w:r>
        <w:rPr>
          <w:rFonts w:ascii="宋体" w:eastAsia="宋体" w:hAnsi="宋体" w:cs="宋体" w:hint="eastAsia"/>
          <w:kern w:val="0"/>
          <w:sz w:val="22"/>
          <w:szCs w:val="22"/>
        </w:rPr>
        <w:t>供应商</w:t>
      </w:r>
      <w:r w:rsidRPr="00FC4A5E">
        <w:rPr>
          <w:rFonts w:ascii="宋体" w:eastAsia="宋体" w:hAnsi="宋体" w:cs="宋体"/>
          <w:kern w:val="0"/>
          <w:sz w:val="22"/>
          <w:szCs w:val="22"/>
        </w:rPr>
        <w:t>支付合同总金额的30%。</w:t>
      </w:r>
    </w:p>
    <w:p w14:paraId="72E0A603" w14:textId="600D9476" w:rsidR="00FC4A5E" w:rsidRPr="00FC4A5E" w:rsidRDefault="00FC4A5E" w:rsidP="00FC4A5E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 w:rsidRPr="00FC4A5E">
        <w:rPr>
          <w:rFonts w:ascii="宋体" w:eastAsia="宋体" w:hAnsi="宋体" w:cs="宋体"/>
          <w:kern w:val="0"/>
          <w:sz w:val="22"/>
          <w:szCs w:val="22"/>
        </w:rPr>
        <w:t>2、合同所有设备（产品）运至</w:t>
      </w:r>
      <w:r w:rsidR="00823B61">
        <w:rPr>
          <w:rFonts w:ascii="宋体" w:eastAsia="宋体" w:hAnsi="宋体" w:cs="宋体" w:hint="eastAsia"/>
          <w:kern w:val="0"/>
          <w:sz w:val="22"/>
          <w:szCs w:val="22"/>
        </w:rPr>
        <w:t>院方</w:t>
      </w:r>
      <w:r w:rsidRPr="00FC4A5E">
        <w:rPr>
          <w:rFonts w:ascii="宋体" w:eastAsia="宋体" w:hAnsi="宋体" w:cs="宋体"/>
          <w:kern w:val="0"/>
          <w:sz w:val="22"/>
          <w:szCs w:val="22"/>
        </w:rPr>
        <w:t>指定货运详细地址、开箱合格运转正常，并经最终用户签字验收（加电验收），</w:t>
      </w:r>
      <w:r>
        <w:rPr>
          <w:rFonts w:ascii="宋体" w:eastAsia="宋体" w:hAnsi="宋体" w:cs="宋体" w:hint="eastAsia"/>
          <w:kern w:val="0"/>
          <w:sz w:val="22"/>
          <w:szCs w:val="22"/>
        </w:rPr>
        <w:t>供应商</w:t>
      </w:r>
      <w:r w:rsidRPr="00FC4A5E">
        <w:rPr>
          <w:rFonts w:ascii="宋体" w:eastAsia="宋体" w:hAnsi="宋体" w:cs="宋体"/>
          <w:kern w:val="0"/>
          <w:sz w:val="22"/>
          <w:szCs w:val="22"/>
        </w:rPr>
        <w:t>提供售后服务履约承诺函，且</w:t>
      </w:r>
      <w:r w:rsidR="00823B61">
        <w:rPr>
          <w:rFonts w:ascii="宋体" w:eastAsia="宋体" w:hAnsi="宋体" w:cs="宋体" w:hint="eastAsia"/>
          <w:kern w:val="0"/>
          <w:sz w:val="22"/>
          <w:szCs w:val="22"/>
        </w:rPr>
        <w:t>院方</w:t>
      </w:r>
      <w:r w:rsidRPr="00FC4A5E">
        <w:rPr>
          <w:rFonts w:ascii="宋体" w:eastAsia="宋体" w:hAnsi="宋体" w:cs="宋体"/>
          <w:kern w:val="0"/>
          <w:sz w:val="22"/>
          <w:szCs w:val="22"/>
        </w:rPr>
        <w:t>在收到</w:t>
      </w:r>
      <w:r>
        <w:rPr>
          <w:rFonts w:ascii="宋体" w:eastAsia="宋体" w:hAnsi="宋体" w:cs="宋体" w:hint="eastAsia"/>
          <w:kern w:val="0"/>
          <w:sz w:val="22"/>
          <w:szCs w:val="22"/>
        </w:rPr>
        <w:t>供应商</w:t>
      </w:r>
      <w:r w:rsidRPr="00FC4A5E">
        <w:rPr>
          <w:rFonts w:ascii="宋体" w:eastAsia="宋体" w:hAnsi="宋体" w:cs="宋体"/>
          <w:kern w:val="0"/>
          <w:sz w:val="22"/>
          <w:szCs w:val="22"/>
        </w:rPr>
        <w:t>开具相应金额正式发票后，向</w:t>
      </w:r>
      <w:r>
        <w:rPr>
          <w:rFonts w:ascii="宋体" w:eastAsia="宋体" w:hAnsi="宋体" w:cs="宋体" w:hint="eastAsia"/>
          <w:kern w:val="0"/>
          <w:sz w:val="22"/>
          <w:szCs w:val="22"/>
        </w:rPr>
        <w:t>供应商</w:t>
      </w:r>
      <w:r w:rsidRPr="00FC4A5E">
        <w:rPr>
          <w:rFonts w:ascii="宋体" w:eastAsia="宋体" w:hAnsi="宋体" w:cs="宋体"/>
          <w:kern w:val="0"/>
          <w:sz w:val="22"/>
          <w:szCs w:val="22"/>
        </w:rPr>
        <w:t>支付至结算审核价的100%。</w:t>
      </w:r>
    </w:p>
    <w:sectPr w:rsidR="00FC4A5E" w:rsidRPr="00FC4A5E">
      <w:footerReference w:type="default" r:id="rId8"/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84B76" w14:textId="77777777" w:rsidR="00A05FBB" w:rsidRDefault="00A05FBB"/>
  </w:endnote>
  <w:endnote w:type="continuationSeparator" w:id="0">
    <w:p w14:paraId="0C169499" w14:textId="77777777" w:rsidR="00A05FBB" w:rsidRDefault="00A05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074722"/>
    </w:sdtPr>
    <w:sdtEndPr/>
    <w:sdtContent>
      <w:p w14:paraId="5F9D0127" w14:textId="56329B73" w:rsidR="00BA06A8" w:rsidRDefault="00DA6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66F" w:rsidRPr="0071366F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F4458" w14:textId="77777777" w:rsidR="00A05FBB" w:rsidRDefault="00A05FBB"/>
  </w:footnote>
  <w:footnote w:type="continuationSeparator" w:id="0">
    <w:p w14:paraId="6E5CA846" w14:textId="77777777" w:rsidR="00A05FBB" w:rsidRDefault="00A05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02D5"/>
    <w:multiLevelType w:val="multilevel"/>
    <w:tmpl w:val="0E8E02D5"/>
    <w:lvl w:ilvl="0">
      <w:start w:val="1"/>
      <w:numFmt w:val="decimal"/>
      <w:lvlText w:val="%1"/>
      <w:lvlJc w:val="left"/>
      <w:pPr>
        <w:ind w:left="1007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130F584C"/>
    <w:multiLevelType w:val="hybridMultilevel"/>
    <w:tmpl w:val="4F12D592"/>
    <w:lvl w:ilvl="0" w:tplc="5036B33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68540B2"/>
    <w:multiLevelType w:val="multilevel"/>
    <w:tmpl w:val="368540B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E5F0EFA"/>
    <w:multiLevelType w:val="hybridMultilevel"/>
    <w:tmpl w:val="0840C21A"/>
    <w:lvl w:ilvl="0" w:tplc="27C4FD96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487333FD"/>
    <w:multiLevelType w:val="hybridMultilevel"/>
    <w:tmpl w:val="8EF01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337F18"/>
    <w:multiLevelType w:val="multilevel"/>
    <w:tmpl w:val="32E8435A"/>
    <w:lvl w:ilvl="0">
      <w:start w:val="1"/>
      <w:numFmt w:val="decimal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6A6E3ED4"/>
    <w:multiLevelType w:val="multilevel"/>
    <w:tmpl w:val="6A6E3ED4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221AC7"/>
    <w:multiLevelType w:val="multilevel"/>
    <w:tmpl w:val="70221AC7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4OGZiZTQ0YTE3OTJkYWVhZjcyNDNjZTQ0NTkzN2IifQ=="/>
  </w:docVars>
  <w:rsids>
    <w:rsidRoot w:val="006E4950"/>
    <w:rsid w:val="00005886"/>
    <w:rsid w:val="00017029"/>
    <w:rsid w:val="00017BA9"/>
    <w:rsid w:val="00030D5D"/>
    <w:rsid w:val="000365D6"/>
    <w:rsid w:val="00037E53"/>
    <w:rsid w:val="00042EF5"/>
    <w:rsid w:val="0004588D"/>
    <w:rsid w:val="00050874"/>
    <w:rsid w:val="00055B6A"/>
    <w:rsid w:val="0005653A"/>
    <w:rsid w:val="00057A55"/>
    <w:rsid w:val="00066330"/>
    <w:rsid w:val="000704DD"/>
    <w:rsid w:val="00070968"/>
    <w:rsid w:val="000771FF"/>
    <w:rsid w:val="00095567"/>
    <w:rsid w:val="000A227B"/>
    <w:rsid w:val="000A7314"/>
    <w:rsid w:val="000B2224"/>
    <w:rsid w:val="000B2261"/>
    <w:rsid w:val="000C3621"/>
    <w:rsid w:val="000E1F56"/>
    <w:rsid w:val="000E5120"/>
    <w:rsid w:val="000E6189"/>
    <w:rsid w:val="000E69C5"/>
    <w:rsid w:val="001024EA"/>
    <w:rsid w:val="00111329"/>
    <w:rsid w:val="001122ED"/>
    <w:rsid w:val="001129C5"/>
    <w:rsid w:val="00112ACC"/>
    <w:rsid w:val="001201BC"/>
    <w:rsid w:val="001221F0"/>
    <w:rsid w:val="00131C75"/>
    <w:rsid w:val="00135636"/>
    <w:rsid w:val="0013754E"/>
    <w:rsid w:val="00141317"/>
    <w:rsid w:val="0014337F"/>
    <w:rsid w:val="001528B1"/>
    <w:rsid w:val="00152FEC"/>
    <w:rsid w:val="00154A69"/>
    <w:rsid w:val="00155D04"/>
    <w:rsid w:val="0016437A"/>
    <w:rsid w:val="00166044"/>
    <w:rsid w:val="00180079"/>
    <w:rsid w:val="00181F7A"/>
    <w:rsid w:val="00186985"/>
    <w:rsid w:val="00187716"/>
    <w:rsid w:val="0019023B"/>
    <w:rsid w:val="00192D4B"/>
    <w:rsid w:val="001951CA"/>
    <w:rsid w:val="00196DD4"/>
    <w:rsid w:val="00196DF2"/>
    <w:rsid w:val="00197826"/>
    <w:rsid w:val="001A08EA"/>
    <w:rsid w:val="001A6DBE"/>
    <w:rsid w:val="001B1D15"/>
    <w:rsid w:val="001B4B48"/>
    <w:rsid w:val="001C468E"/>
    <w:rsid w:val="001C77A2"/>
    <w:rsid w:val="001D615E"/>
    <w:rsid w:val="001E39E3"/>
    <w:rsid w:val="001E50A8"/>
    <w:rsid w:val="001E686A"/>
    <w:rsid w:val="001F0D98"/>
    <w:rsid w:val="002011C8"/>
    <w:rsid w:val="0020218F"/>
    <w:rsid w:val="002069C4"/>
    <w:rsid w:val="00211A01"/>
    <w:rsid w:val="00213943"/>
    <w:rsid w:val="0021604C"/>
    <w:rsid w:val="00217D46"/>
    <w:rsid w:val="002218DF"/>
    <w:rsid w:val="002222DE"/>
    <w:rsid w:val="00227273"/>
    <w:rsid w:val="002304BC"/>
    <w:rsid w:val="0023074A"/>
    <w:rsid w:val="00230E1E"/>
    <w:rsid w:val="00232958"/>
    <w:rsid w:val="002366EF"/>
    <w:rsid w:val="00243D56"/>
    <w:rsid w:val="00246633"/>
    <w:rsid w:val="00261F0C"/>
    <w:rsid w:val="00263A4F"/>
    <w:rsid w:val="00282AF9"/>
    <w:rsid w:val="00290C49"/>
    <w:rsid w:val="00292DBA"/>
    <w:rsid w:val="0029415E"/>
    <w:rsid w:val="00294D0D"/>
    <w:rsid w:val="002A26F2"/>
    <w:rsid w:val="002A31E8"/>
    <w:rsid w:val="002A4659"/>
    <w:rsid w:val="002B19DF"/>
    <w:rsid w:val="002C08F9"/>
    <w:rsid w:val="002D11F9"/>
    <w:rsid w:val="002D39B4"/>
    <w:rsid w:val="002D4803"/>
    <w:rsid w:val="002D57A8"/>
    <w:rsid w:val="002D6E4A"/>
    <w:rsid w:val="002E40F6"/>
    <w:rsid w:val="002E5F7E"/>
    <w:rsid w:val="002F1C39"/>
    <w:rsid w:val="002F5DA0"/>
    <w:rsid w:val="002F647A"/>
    <w:rsid w:val="003149E9"/>
    <w:rsid w:val="003170CC"/>
    <w:rsid w:val="00327136"/>
    <w:rsid w:val="00332847"/>
    <w:rsid w:val="00337BD7"/>
    <w:rsid w:val="00342D5A"/>
    <w:rsid w:val="003446F9"/>
    <w:rsid w:val="0035258F"/>
    <w:rsid w:val="00355E20"/>
    <w:rsid w:val="00365174"/>
    <w:rsid w:val="00372D83"/>
    <w:rsid w:val="0037742E"/>
    <w:rsid w:val="0038743E"/>
    <w:rsid w:val="00387ECD"/>
    <w:rsid w:val="00392A2D"/>
    <w:rsid w:val="00393B0E"/>
    <w:rsid w:val="00396B38"/>
    <w:rsid w:val="003A2C4F"/>
    <w:rsid w:val="003A3F68"/>
    <w:rsid w:val="003B6534"/>
    <w:rsid w:val="003C34F6"/>
    <w:rsid w:val="003C618A"/>
    <w:rsid w:val="003D3F73"/>
    <w:rsid w:val="003D5589"/>
    <w:rsid w:val="003D6376"/>
    <w:rsid w:val="003E5E22"/>
    <w:rsid w:val="003E61A3"/>
    <w:rsid w:val="003F01CF"/>
    <w:rsid w:val="003F5BB0"/>
    <w:rsid w:val="004006A7"/>
    <w:rsid w:val="0040587C"/>
    <w:rsid w:val="00406026"/>
    <w:rsid w:val="00410784"/>
    <w:rsid w:val="0042331E"/>
    <w:rsid w:val="00426D96"/>
    <w:rsid w:val="004318FD"/>
    <w:rsid w:val="00431B5A"/>
    <w:rsid w:val="00441AA5"/>
    <w:rsid w:val="00443EFA"/>
    <w:rsid w:val="00444E72"/>
    <w:rsid w:val="00451877"/>
    <w:rsid w:val="00461DF7"/>
    <w:rsid w:val="00461EC5"/>
    <w:rsid w:val="004628CC"/>
    <w:rsid w:val="00467D2D"/>
    <w:rsid w:val="00483888"/>
    <w:rsid w:val="0048679B"/>
    <w:rsid w:val="00486903"/>
    <w:rsid w:val="004A1F30"/>
    <w:rsid w:val="004A465B"/>
    <w:rsid w:val="004A58B1"/>
    <w:rsid w:val="004A5E44"/>
    <w:rsid w:val="004B24E6"/>
    <w:rsid w:val="004B7961"/>
    <w:rsid w:val="004C06EA"/>
    <w:rsid w:val="004D0A40"/>
    <w:rsid w:val="004D1E2A"/>
    <w:rsid w:val="004D4C2C"/>
    <w:rsid w:val="004E11B1"/>
    <w:rsid w:val="004E4018"/>
    <w:rsid w:val="00513F2D"/>
    <w:rsid w:val="005274B3"/>
    <w:rsid w:val="0052770E"/>
    <w:rsid w:val="005335B4"/>
    <w:rsid w:val="005420CF"/>
    <w:rsid w:val="00545C9B"/>
    <w:rsid w:val="0055205A"/>
    <w:rsid w:val="00555D82"/>
    <w:rsid w:val="00561390"/>
    <w:rsid w:val="00563992"/>
    <w:rsid w:val="00577F08"/>
    <w:rsid w:val="00581577"/>
    <w:rsid w:val="00582CB9"/>
    <w:rsid w:val="00583E8C"/>
    <w:rsid w:val="00584E25"/>
    <w:rsid w:val="00586DF6"/>
    <w:rsid w:val="00592BD1"/>
    <w:rsid w:val="00593912"/>
    <w:rsid w:val="0059484A"/>
    <w:rsid w:val="005B089F"/>
    <w:rsid w:val="005B1AAA"/>
    <w:rsid w:val="005B1F37"/>
    <w:rsid w:val="005B6C5B"/>
    <w:rsid w:val="005C0731"/>
    <w:rsid w:val="005C10C3"/>
    <w:rsid w:val="005C28BE"/>
    <w:rsid w:val="005C6922"/>
    <w:rsid w:val="005D0ACB"/>
    <w:rsid w:val="005D456F"/>
    <w:rsid w:val="005D77A8"/>
    <w:rsid w:val="005E2054"/>
    <w:rsid w:val="005E2917"/>
    <w:rsid w:val="005E7481"/>
    <w:rsid w:val="006029D0"/>
    <w:rsid w:val="00610D66"/>
    <w:rsid w:val="00613EDD"/>
    <w:rsid w:val="00615929"/>
    <w:rsid w:val="00615C42"/>
    <w:rsid w:val="00621DBE"/>
    <w:rsid w:val="006236FA"/>
    <w:rsid w:val="00623AA5"/>
    <w:rsid w:val="00625042"/>
    <w:rsid w:val="0062542D"/>
    <w:rsid w:val="0063247C"/>
    <w:rsid w:val="00633D8A"/>
    <w:rsid w:val="00637942"/>
    <w:rsid w:val="0066563A"/>
    <w:rsid w:val="00665BF7"/>
    <w:rsid w:val="00672A83"/>
    <w:rsid w:val="00674DF9"/>
    <w:rsid w:val="00676E2F"/>
    <w:rsid w:val="00677FD8"/>
    <w:rsid w:val="00680A9E"/>
    <w:rsid w:val="0068112D"/>
    <w:rsid w:val="00684C2C"/>
    <w:rsid w:val="00686149"/>
    <w:rsid w:val="00687E22"/>
    <w:rsid w:val="00692CCD"/>
    <w:rsid w:val="00693E18"/>
    <w:rsid w:val="006940B3"/>
    <w:rsid w:val="006A4B70"/>
    <w:rsid w:val="006A5EF4"/>
    <w:rsid w:val="006B1181"/>
    <w:rsid w:val="006B44A7"/>
    <w:rsid w:val="006C5925"/>
    <w:rsid w:val="006D159E"/>
    <w:rsid w:val="006D21D2"/>
    <w:rsid w:val="006D3ED0"/>
    <w:rsid w:val="006E04F4"/>
    <w:rsid w:val="006E269B"/>
    <w:rsid w:val="006E46D8"/>
    <w:rsid w:val="006E4950"/>
    <w:rsid w:val="006E76CA"/>
    <w:rsid w:val="006F2719"/>
    <w:rsid w:val="006F3D85"/>
    <w:rsid w:val="006F611F"/>
    <w:rsid w:val="007004E8"/>
    <w:rsid w:val="00712056"/>
    <w:rsid w:val="0071366F"/>
    <w:rsid w:val="0071728F"/>
    <w:rsid w:val="0072127F"/>
    <w:rsid w:val="007257BE"/>
    <w:rsid w:val="007269A4"/>
    <w:rsid w:val="0074731B"/>
    <w:rsid w:val="007608D7"/>
    <w:rsid w:val="00760A28"/>
    <w:rsid w:val="00763846"/>
    <w:rsid w:val="00766BF7"/>
    <w:rsid w:val="0077278E"/>
    <w:rsid w:val="00774EBF"/>
    <w:rsid w:val="007764A2"/>
    <w:rsid w:val="0078020F"/>
    <w:rsid w:val="0078472A"/>
    <w:rsid w:val="007930A2"/>
    <w:rsid w:val="00793537"/>
    <w:rsid w:val="0079798B"/>
    <w:rsid w:val="007B266A"/>
    <w:rsid w:val="007B50F3"/>
    <w:rsid w:val="007B7B06"/>
    <w:rsid w:val="007C6B33"/>
    <w:rsid w:val="007D5150"/>
    <w:rsid w:val="007D6340"/>
    <w:rsid w:val="007E0DFB"/>
    <w:rsid w:val="007E4F6F"/>
    <w:rsid w:val="007E543F"/>
    <w:rsid w:val="007E6B60"/>
    <w:rsid w:val="007F1CB0"/>
    <w:rsid w:val="007F4A92"/>
    <w:rsid w:val="007F50D4"/>
    <w:rsid w:val="00806617"/>
    <w:rsid w:val="00811A4B"/>
    <w:rsid w:val="00817080"/>
    <w:rsid w:val="00823B61"/>
    <w:rsid w:val="00824E95"/>
    <w:rsid w:val="00825552"/>
    <w:rsid w:val="008371A0"/>
    <w:rsid w:val="00841A58"/>
    <w:rsid w:val="00842542"/>
    <w:rsid w:val="00845AAF"/>
    <w:rsid w:val="00850F89"/>
    <w:rsid w:val="00857BB0"/>
    <w:rsid w:val="008649B7"/>
    <w:rsid w:val="0086615E"/>
    <w:rsid w:val="00873BA7"/>
    <w:rsid w:val="00874E10"/>
    <w:rsid w:val="008778FF"/>
    <w:rsid w:val="008812A2"/>
    <w:rsid w:val="008827CA"/>
    <w:rsid w:val="00886F55"/>
    <w:rsid w:val="00890E5E"/>
    <w:rsid w:val="00894A1E"/>
    <w:rsid w:val="00894DC1"/>
    <w:rsid w:val="00896708"/>
    <w:rsid w:val="008A06ED"/>
    <w:rsid w:val="008A36E3"/>
    <w:rsid w:val="008A7D62"/>
    <w:rsid w:val="008B4281"/>
    <w:rsid w:val="008C1448"/>
    <w:rsid w:val="008C6E46"/>
    <w:rsid w:val="008C7FEB"/>
    <w:rsid w:val="008D7831"/>
    <w:rsid w:val="008E4BB5"/>
    <w:rsid w:val="008E5F69"/>
    <w:rsid w:val="008E683F"/>
    <w:rsid w:val="008F6B22"/>
    <w:rsid w:val="0090052F"/>
    <w:rsid w:val="009025FD"/>
    <w:rsid w:val="009054B4"/>
    <w:rsid w:val="009070DE"/>
    <w:rsid w:val="0091441F"/>
    <w:rsid w:val="00914AEC"/>
    <w:rsid w:val="00916A2A"/>
    <w:rsid w:val="0092337C"/>
    <w:rsid w:val="00926018"/>
    <w:rsid w:val="009272CB"/>
    <w:rsid w:val="00927632"/>
    <w:rsid w:val="00927E7D"/>
    <w:rsid w:val="0093100F"/>
    <w:rsid w:val="00932469"/>
    <w:rsid w:val="00933AA4"/>
    <w:rsid w:val="009359BD"/>
    <w:rsid w:val="0093694C"/>
    <w:rsid w:val="009428FF"/>
    <w:rsid w:val="00953434"/>
    <w:rsid w:val="0095393A"/>
    <w:rsid w:val="00954BED"/>
    <w:rsid w:val="00955AB9"/>
    <w:rsid w:val="009570E9"/>
    <w:rsid w:val="00961355"/>
    <w:rsid w:val="009654A4"/>
    <w:rsid w:val="0096730D"/>
    <w:rsid w:val="00984306"/>
    <w:rsid w:val="00987211"/>
    <w:rsid w:val="00993A55"/>
    <w:rsid w:val="00996963"/>
    <w:rsid w:val="009978DE"/>
    <w:rsid w:val="009A1889"/>
    <w:rsid w:val="009A5EBF"/>
    <w:rsid w:val="009B5B63"/>
    <w:rsid w:val="009D21EF"/>
    <w:rsid w:val="009D3ADF"/>
    <w:rsid w:val="009D75D2"/>
    <w:rsid w:val="009E15BA"/>
    <w:rsid w:val="009E5326"/>
    <w:rsid w:val="009E65DE"/>
    <w:rsid w:val="009E7FF4"/>
    <w:rsid w:val="009F0401"/>
    <w:rsid w:val="009F0ACE"/>
    <w:rsid w:val="009F0C0E"/>
    <w:rsid w:val="009F5EEA"/>
    <w:rsid w:val="009F6A56"/>
    <w:rsid w:val="00A05FBB"/>
    <w:rsid w:val="00A32D0D"/>
    <w:rsid w:val="00A34771"/>
    <w:rsid w:val="00A3577D"/>
    <w:rsid w:val="00A438F9"/>
    <w:rsid w:val="00A448F4"/>
    <w:rsid w:val="00A4757E"/>
    <w:rsid w:val="00A60D7C"/>
    <w:rsid w:val="00A639F5"/>
    <w:rsid w:val="00A65BD1"/>
    <w:rsid w:val="00A67701"/>
    <w:rsid w:val="00A721BC"/>
    <w:rsid w:val="00A75638"/>
    <w:rsid w:val="00A82F5F"/>
    <w:rsid w:val="00A82F87"/>
    <w:rsid w:val="00A83DA2"/>
    <w:rsid w:val="00A85EF3"/>
    <w:rsid w:val="00A9627B"/>
    <w:rsid w:val="00AA08CB"/>
    <w:rsid w:val="00AA2CEF"/>
    <w:rsid w:val="00AA33A1"/>
    <w:rsid w:val="00AA457F"/>
    <w:rsid w:val="00AA4C97"/>
    <w:rsid w:val="00AB07D9"/>
    <w:rsid w:val="00AB0814"/>
    <w:rsid w:val="00AB2460"/>
    <w:rsid w:val="00AB6BB2"/>
    <w:rsid w:val="00AC184A"/>
    <w:rsid w:val="00AC19C2"/>
    <w:rsid w:val="00AC1DFE"/>
    <w:rsid w:val="00AC4FCF"/>
    <w:rsid w:val="00AD72F7"/>
    <w:rsid w:val="00AE4B09"/>
    <w:rsid w:val="00AE5844"/>
    <w:rsid w:val="00AE7031"/>
    <w:rsid w:val="00AF375E"/>
    <w:rsid w:val="00B0524B"/>
    <w:rsid w:val="00B12188"/>
    <w:rsid w:val="00B20A70"/>
    <w:rsid w:val="00B22752"/>
    <w:rsid w:val="00B31BA7"/>
    <w:rsid w:val="00B34C55"/>
    <w:rsid w:val="00B42345"/>
    <w:rsid w:val="00B50F84"/>
    <w:rsid w:val="00B547E5"/>
    <w:rsid w:val="00B54E84"/>
    <w:rsid w:val="00B564DF"/>
    <w:rsid w:val="00B57DEA"/>
    <w:rsid w:val="00B632E0"/>
    <w:rsid w:val="00B65BEB"/>
    <w:rsid w:val="00B66DF0"/>
    <w:rsid w:val="00B76884"/>
    <w:rsid w:val="00B85FA4"/>
    <w:rsid w:val="00B9397A"/>
    <w:rsid w:val="00B93CC0"/>
    <w:rsid w:val="00BA06A8"/>
    <w:rsid w:val="00BA0D2C"/>
    <w:rsid w:val="00BA4F5B"/>
    <w:rsid w:val="00BA6935"/>
    <w:rsid w:val="00BC3427"/>
    <w:rsid w:val="00BC7FA2"/>
    <w:rsid w:val="00BD3EA2"/>
    <w:rsid w:val="00BD5504"/>
    <w:rsid w:val="00BD5BBF"/>
    <w:rsid w:val="00BD651D"/>
    <w:rsid w:val="00BE466D"/>
    <w:rsid w:val="00BE5BDB"/>
    <w:rsid w:val="00BF5161"/>
    <w:rsid w:val="00C00EDA"/>
    <w:rsid w:val="00C10EEA"/>
    <w:rsid w:val="00C12BF3"/>
    <w:rsid w:val="00C16883"/>
    <w:rsid w:val="00C201B5"/>
    <w:rsid w:val="00C2753C"/>
    <w:rsid w:val="00C349C2"/>
    <w:rsid w:val="00C52846"/>
    <w:rsid w:val="00C578FD"/>
    <w:rsid w:val="00C61FBF"/>
    <w:rsid w:val="00C65157"/>
    <w:rsid w:val="00C657FF"/>
    <w:rsid w:val="00C659B0"/>
    <w:rsid w:val="00C808AB"/>
    <w:rsid w:val="00C87D0D"/>
    <w:rsid w:val="00C91A9A"/>
    <w:rsid w:val="00C93531"/>
    <w:rsid w:val="00C9512F"/>
    <w:rsid w:val="00C96098"/>
    <w:rsid w:val="00CA3950"/>
    <w:rsid w:val="00CC0A11"/>
    <w:rsid w:val="00CC6086"/>
    <w:rsid w:val="00CD0A37"/>
    <w:rsid w:val="00CD3F1F"/>
    <w:rsid w:val="00CD6672"/>
    <w:rsid w:val="00CE07FB"/>
    <w:rsid w:val="00CE655F"/>
    <w:rsid w:val="00CF36F1"/>
    <w:rsid w:val="00CF7012"/>
    <w:rsid w:val="00D00B5C"/>
    <w:rsid w:val="00D00FC0"/>
    <w:rsid w:val="00D0126E"/>
    <w:rsid w:val="00D01D81"/>
    <w:rsid w:val="00D03305"/>
    <w:rsid w:val="00D03AD5"/>
    <w:rsid w:val="00D061DD"/>
    <w:rsid w:val="00D0740C"/>
    <w:rsid w:val="00D10486"/>
    <w:rsid w:val="00D14599"/>
    <w:rsid w:val="00D15858"/>
    <w:rsid w:val="00D23A31"/>
    <w:rsid w:val="00D27476"/>
    <w:rsid w:val="00D363FE"/>
    <w:rsid w:val="00D44E37"/>
    <w:rsid w:val="00D55018"/>
    <w:rsid w:val="00D55088"/>
    <w:rsid w:val="00D55177"/>
    <w:rsid w:val="00D619BF"/>
    <w:rsid w:val="00D77B24"/>
    <w:rsid w:val="00D87EBB"/>
    <w:rsid w:val="00DA3290"/>
    <w:rsid w:val="00DA4819"/>
    <w:rsid w:val="00DA60A7"/>
    <w:rsid w:val="00DA6A3E"/>
    <w:rsid w:val="00DA773E"/>
    <w:rsid w:val="00DA7A08"/>
    <w:rsid w:val="00DB43E5"/>
    <w:rsid w:val="00DB4952"/>
    <w:rsid w:val="00DC10A4"/>
    <w:rsid w:val="00DC5964"/>
    <w:rsid w:val="00DC6222"/>
    <w:rsid w:val="00DE0047"/>
    <w:rsid w:val="00DF36DD"/>
    <w:rsid w:val="00E13127"/>
    <w:rsid w:val="00E15158"/>
    <w:rsid w:val="00E17D8B"/>
    <w:rsid w:val="00E2572D"/>
    <w:rsid w:val="00E258A5"/>
    <w:rsid w:val="00E27A08"/>
    <w:rsid w:val="00E300D1"/>
    <w:rsid w:val="00E322EA"/>
    <w:rsid w:val="00E36689"/>
    <w:rsid w:val="00E417DB"/>
    <w:rsid w:val="00E561C8"/>
    <w:rsid w:val="00E563FB"/>
    <w:rsid w:val="00E67572"/>
    <w:rsid w:val="00E67C64"/>
    <w:rsid w:val="00E81018"/>
    <w:rsid w:val="00E84DEB"/>
    <w:rsid w:val="00E86B99"/>
    <w:rsid w:val="00E9277F"/>
    <w:rsid w:val="00E979C4"/>
    <w:rsid w:val="00EA1DE3"/>
    <w:rsid w:val="00EA3373"/>
    <w:rsid w:val="00EA54F6"/>
    <w:rsid w:val="00EA5D96"/>
    <w:rsid w:val="00EB2C12"/>
    <w:rsid w:val="00EB48CC"/>
    <w:rsid w:val="00EC028D"/>
    <w:rsid w:val="00EC0A94"/>
    <w:rsid w:val="00EC73A2"/>
    <w:rsid w:val="00ED5EF8"/>
    <w:rsid w:val="00EE516D"/>
    <w:rsid w:val="00EF477C"/>
    <w:rsid w:val="00EF4C75"/>
    <w:rsid w:val="00EF51F0"/>
    <w:rsid w:val="00F02A85"/>
    <w:rsid w:val="00F03EE7"/>
    <w:rsid w:val="00F06ECF"/>
    <w:rsid w:val="00F1176C"/>
    <w:rsid w:val="00F131D7"/>
    <w:rsid w:val="00F17E71"/>
    <w:rsid w:val="00F230B0"/>
    <w:rsid w:val="00F35A5F"/>
    <w:rsid w:val="00F37FEB"/>
    <w:rsid w:val="00F42119"/>
    <w:rsid w:val="00F430F7"/>
    <w:rsid w:val="00F46059"/>
    <w:rsid w:val="00F5011C"/>
    <w:rsid w:val="00F51A4C"/>
    <w:rsid w:val="00F55C8C"/>
    <w:rsid w:val="00F625B4"/>
    <w:rsid w:val="00F70381"/>
    <w:rsid w:val="00F77DA5"/>
    <w:rsid w:val="00F80208"/>
    <w:rsid w:val="00F819C0"/>
    <w:rsid w:val="00F83797"/>
    <w:rsid w:val="00F85EAF"/>
    <w:rsid w:val="00F86164"/>
    <w:rsid w:val="00FA0682"/>
    <w:rsid w:val="00FA2FF7"/>
    <w:rsid w:val="00FA3D67"/>
    <w:rsid w:val="00FA5A9F"/>
    <w:rsid w:val="00FA7115"/>
    <w:rsid w:val="00FA7A45"/>
    <w:rsid w:val="00FB0DA7"/>
    <w:rsid w:val="00FB147F"/>
    <w:rsid w:val="00FB2150"/>
    <w:rsid w:val="00FB3F60"/>
    <w:rsid w:val="00FC4A5E"/>
    <w:rsid w:val="00FE0FFE"/>
    <w:rsid w:val="00FE58C3"/>
    <w:rsid w:val="00FE6D48"/>
    <w:rsid w:val="00FF3F52"/>
    <w:rsid w:val="042B127B"/>
    <w:rsid w:val="27953A28"/>
    <w:rsid w:val="27CA6908"/>
    <w:rsid w:val="2A233575"/>
    <w:rsid w:val="2F2F2BF7"/>
    <w:rsid w:val="38F41EC9"/>
    <w:rsid w:val="47ED5D24"/>
    <w:rsid w:val="4C3B12F1"/>
    <w:rsid w:val="4D503867"/>
    <w:rsid w:val="52165069"/>
    <w:rsid w:val="539E4723"/>
    <w:rsid w:val="57D02FF1"/>
    <w:rsid w:val="57F51E26"/>
    <w:rsid w:val="5B0436F3"/>
    <w:rsid w:val="61F36E5B"/>
    <w:rsid w:val="6934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B48F6"/>
  <w15:docId w15:val="{D75CFFCB-FDC9-4AA5-88C9-CE8E1132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List Paragraph"/>
    <w:basedOn w:val="a"/>
    <w:link w:val="ab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10">
    <w:name w:val="a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b">
    <w:name w:val="列表段落 字符"/>
    <w:link w:val="aa"/>
    <w:uiPriority w:val="34"/>
    <w:qFormat/>
    <w:rPr>
      <w:kern w:val="2"/>
      <w:sz w:val="21"/>
      <w:szCs w:val="24"/>
    </w:rPr>
  </w:style>
  <w:style w:type="paragraph" w:customStyle="1" w:styleId="Style15">
    <w:name w:val="_Style 15"/>
    <w:basedOn w:val="a"/>
    <w:next w:val="aa"/>
    <w:uiPriority w:val="34"/>
    <w:qFormat/>
    <w:pPr>
      <w:ind w:firstLineChars="200" w:firstLine="420"/>
    </w:pPr>
    <w:rPr>
      <w:rFonts w:ascii="等线" w:eastAsia="等线" w:hAnsi="等线" w:cs="Times New Roman"/>
      <w:szCs w:val="22"/>
      <w:lang w:val="zh-CN"/>
    </w:rPr>
  </w:style>
  <w:style w:type="paragraph" w:customStyle="1" w:styleId="10">
    <w:name w:val="修订1"/>
    <w:hidden/>
    <w:uiPriority w:val="99"/>
    <w:semiHidden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E543F"/>
    <w:rPr>
      <w:b/>
      <w:bCs/>
      <w:kern w:val="2"/>
      <w:sz w:val="32"/>
      <w:szCs w:val="32"/>
    </w:rPr>
  </w:style>
  <w:style w:type="paragraph" w:customStyle="1" w:styleId="Default">
    <w:name w:val="Default"/>
    <w:qFormat/>
    <w:rsid w:val="00A448F4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96730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6730D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8C7FEB"/>
    <w:rPr>
      <w:sz w:val="21"/>
      <w:szCs w:val="21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8C7FEB"/>
    <w:rPr>
      <w:b/>
      <w:bCs/>
    </w:rPr>
  </w:style>
  <w:style w:type="character" w:customStyle="1" w:styleId="af0">
    <w:name w:val="批注主题 字符"/>
    <w:basedOn w:val="ad"/>
    <w:link w:val="af"/>
    <w:uiPriority w:val="99"/>
    <w:semiHidden/>
    <w:rsid w:val="008C7FE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626D-A118-4EC5-8D25-38726725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7</Pages>
  <Words>538</Words>
  <Characters>3070</Characters>
  <Application>Microsoft Office Word</Application>
  <DocSecurity>0</DocSecurity>
  <Lines>25</Lines>
  <Paragraphs>7</Paragraphs>
  <ScaleCrop>false</ScaleCrop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netuser</cp:lastModifiedBy>
  <cp:revision>67</cp:revision>
  <dcterms:created xsi:type="dcterms:W3CDTF">2024-07-16T03:21:00Z</dcterms:created>
  <dcterms:modified xsi:type="dcterms:W3CDTF">2024-10-11T08:16:00Z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F5C6C34B5C5D4F3DBC8689F09B82EFA1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1720331959</vt:lpwstr>
  </property>
  <property fmtid="{D5CDD505-2E9C-101B-9397-08002B2CF9AE}" pid="8" name="_2015_ms_pID_725343">
    <vt:lpwstr>(3)orUllaSchXIfdHsqRzmvhecLUfexk7Fm14VkkmqDtcPBdRNLBwWfdOuJ2KfJB2/ySARqI/MW
/sJQz+HQE148gTLXL9O01C6uFxpHqIh+u5d9037LU6ZUHqe1c9h1qOKpVyGWgLg+t7j/PzsR
uSZJqvnwxIdl2u+lD3krI3/xBFJuuYY3IgAMi0VQ7eGFwvDd+Y24xds1L/LsnicSMSk23bQ/
DihlhYgiA1NBdE+RWz</vt:lpwstr>
  </property>
  <property fmtid="{D5CDD505-2E9C-101B-9397-08002B2CF9AE}" pid="9" name="_2015_ms_pID_7253431">
    <vt:lpwstr>pZ13kTlj02Zs7Mm4MM+NdngmThHUs8fZScjGeOcGt/HCOOtiNTEbNU
x+RfeYECXU5nst6wT/VG+CuGBBWVBWrrWYKD50Pk2hvwltmrILUekSFIueRUOX9wQzfbUyAm
tPLs1Ccqq3E8LYBhz97dvYNj7DoLtiJwGn0JmLhJvWId8O5lEYWIs+8q1wARKLKoGFjHVo8Z
kjK32TGxrVwg74Rty69BIwehlRdi82tCuGU5</vt:lpwstr>
  </property>
  <property fmtid="{D5CDD505-2E9C-101B-9397-08002B2CF9AE}" pid="10" name="_2015_ms_pID_7253432">
    <vt:lpwstr>LA==</vt:lpwstr>
  </property>
</Properties>
</file>