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880C3">
      <w:pPr>
        <w:pStyle w:val="9"/>
        <w:widowControl/>
        <w:spacing w:before="0" w:beforeAutospacing="0" w:after="0" w:afterAutospacing="0" w:line="460" w:lineRule="exact"/>
        <w:ind w:firstLine="400"/>
        <w:rPr>
          <w:rStyle w:val="13"/>
          <w:rFonts w:ascii="宋体" w:hAnsi="宋体" w:cs="宋体"/>
          <w:bCs/>
          <w:color w:val="FF0000"/>
          <w:sz w:val="36"/>
          <w:szCs w:val="36"/>
          <w:shd w:val="clear" w:color="auto" w:fill="FFFFFF"/>
        </w:rPr>
      </w:pPr>
      <w:r>
        <w:rPr>
          <w:rFonts w:hint="eastAsia" w:ascii="宋体" w:hAnsi="宋体" w:cs="宋体"/>
          <w:b/>
          <w:color w:val="FF0000"/>
          <w:kern w:val="2"/>
          <w:sz w:val="32"/>
          <w:szCs w:val="32"/>
        </w:rPr>
        <w:t>广东省人民医院装修工程定点议价采购合同补充协议</w:t>
      </w:r>
    </w:p>
    <w:p w14:paraId="2FC1D660">
      <w:pPr>
        <w:pStyle w:val="9"/>
        <w:widowControl/>
        <w:spacing w:before="0" w:beforeAutospacing="0" w:after="0" w:afterAutospacing="0" w:line="460" w:lineRule="exact"/>
        <w:rPr>
          <w:rStyle w:val="13"/>
          <w:rFonts w:ascii="宋体" w:hAnsi="宋体" w:cs="宋体"/>
          <w:bCs/>
          <w:color w:val="666666"/>
          <w:sz w:val="36"/>
          <w:szCs w:val="36"/>
          <w:shd w:val="clear" w:color="auto" w:fill="FFFFFF"/>
        </w:rPr>
      </w:pPr>
    </w:p>
    <w:p w14:paraId="27CDCCE7">
      <w:pPr>
        <w:spacing w:line="360" w:lineRule="auto"/>
        <w:jc w:val="left"/>
        <w:rPr>
          <w:rFonts w:ascii="宋体" w:hAnsi="宋体"/>
          <w:sz w:val="24"/>
          <w:szCs w:val="24"/>
        </w:rPr>
      </w:pPr>
      <w:r>
        <w:rPr>
          <w:rFonts w:hint="eastAsia" w:ascii="宋体" w:hAnsi="宋体" w:cs="宋体"/>
          <w:bCs/>
          <w:sz w:val="24"/>
          <w:szCs w:val="24"/>
        </w:rPr>
        <w:t>合同名称：广东省人民医院装修工程定点服务定点议价采购合同</w:t>
      </w:r>
    </w:p>
    <w:p w14:paraId="2F58AAC3">
      <w:pPr>
        <w:spacing w:line="360" w:lineRule="auto"/>
        <w:jc w:val="left"/>
        <w:rPr>
          <w:rFonts w:hint="default" w:ascii="宋体" w:hAnsi="宋体" w:eastAsia="宋体"/>
          <w:sz w:val="24"/>
          <w:szCs w:val="24"/>
          <w:u w:val="single"/>
          <w:lang w:val="en-US" w:eastAsia="zh-CN"/>
        </w:rPr>
      </w:pPr>
      <w:r>
        <w:rPr>
          <w:rFonts w:hint="eastAsia" w:ascii="宋体" w:hAnsi="宋体"/>
          <w:sz w:val="24"/>
          <w:szCs w:val="24"/>
        </w:rPr>
        <w:t>合同编号：</w:t>
      </w:r>
      <w:r>
        <w:rPr>
          <w:rFonts w:hint="eastAsia" w:ascii="宋体" w:hAnsi="宋体"/>
          <w:sz w:val="24"/>
          <w:szCs w:val="24"/>
          <w:lang w:val="en-US" w:eastAsia="zh-CN"/>
        </w:rPr>
        <w:t>*****</w:t>
      </w:r>
    </w:p>
    <w:p w14:paraId="18BF8F6D">
      <w:pPr>
        <w:spacing w:line="360" w:lineRule="auto"/>
        <w:jc w:val="left"/>
        <w:rPr>
          <w:rFonts w:ascii="宋体" w:hAnsi="宋体"/>
          <w:sz w:val="24"/>
          <w:szCs w:val="24"/>
          <w:u w:val="single"/>
        </w:rPr>
      </w:pPr>
      <w:r>
        <w:rPr>
          <w:rFonts w:hint="eastAsia" w:ascii="宋体" w:hAnsi="宋体"/>
          <w:sz w:val="24"/>
          <w:szCs w:val="24"/>
        </w:rPr>
        <w:t>工程名称：</w:t>
      </w:r>
      <w:r>
        <w:rPr>
          <w:rFonts w:hint="eastAsia" w:ascii="宋体" w:hAnsi="宋体" w:cs="宋体"/>
          <w:bCs/>
          <w:sz w:val="24"/>
          <w:szCs w:val="24"/>
        </w:rPr>
        <w:t>广东省人民医院伟伦楼整体改造工程保运营措施项目</w:t>
      </w:r>
    </w:p>
    <w:p w14:paraId="4A85A811">
      <w:pPr>
        <w:spacing w:line="360" w:lineRule="auto"/>
        <w:jc w:val="left"/>
        <w:rPr>
          <w:rFonts w:ascii="宋体" w:hAnsi="宋体" w:cs="宋体"/>
          <w:bCs/>
          <w:sz w:val="24"/>
          <w:szCs w:val="24"/>
        </w:rPr>
      </w:pPr>
      <w:r>
        <w:rPr>
          <w:rFonts w:hint="eastAsia" w:ascii="宋体" w:hAnsi="宋体" w:cs="宋体"/>
          <w:bCs/>
          <w:sz w:val="24"/>
          <w:szCs w:val="24"/>
        </w:rPr>
        <w:t>甲方：广东省人民医院</w:t>
      </w:r>
    </w:p>
    <w:p w14:paraId="2470F811">
      <w:pPr>
        <w:spacing w:line="360" w:lineRule="auto"/>
        <w:jc w:val="left"/>
        <w:rPr>
          <w:rFonts w:hint="default" w:ascii="宋体" w:hAnsi="宋体" w:eastAsia="宋体" w:cs="宋体"/>
          <w:bCs/>
          <w:sz w:val="24"/>
          <w:szCs w:val="24"/>
          <w:u w:val="single"/>
          <w:lang w:val="en-US" w:eastAsia="zh-CN"/>
        </w:rPr>
      </w:pPr>
      <w:r>
        <w:rPr>
          <w:rFonts w:hint="eastAsia" w:ascii="宋体" w:hAnsi="宋体" w:cs="宋体"/>
          <w:bCs/>
          <w:sz w:val="24"/>
          <w:szCs w:val="24"/>
        </w:rPr>
        <w:t>乙方：</w:t>
      </w:r>
      <w:r>
        <w:rPr>
          <w:rFonts w:hint="eastAsia" w:ascii="宋体" w:hAnsi="宋体" w:cs="宋体"/>
          <w:bCs/>
          <w:sz w:val="24"/>
          <w:szCs w:val="24"/>
          <w:lang w:val="en-US" w:eastAsia="zh-CN"/>
        </w:rPr>
        <w:t>******</w:t>
      </w:r>
    </w:p>
    <w:p w14:paraId="00B21D9C">
      <w:pPr>
        <w:pStyle w:val="9"/>
        <w:widowControl/>
        <w:spacing w:before="0" w:beforeAutospacing="0" w:after="0" w:afterAutospacing="0" w:line="460" w:lineRule="exact"/>
        <w:rPr>
          <w:rStyle w:val="13"/>
          <w:rFonts w:ascii="宋体" w:hAnsi="宋体" w:cs="宋体"/>
          <w:bCs/>
          <w:color w:val="666666"/>
          <w:szCs w:val="24"/>
          <w:shd w:val="clear" w:color="auto" w:fill="FFFFFF"/>
        </w:rPr>
      </w:pPr>
    </w:p>
    <w:p w14:paraId="51D16F77">
      <w:pPr>
        <w:spacing w:line="460" w:lineRule="exact"/>
        <w:ind w:firstLine="420"/>
        <w:jc w:val="left"/>
        <w:rPr>
          <w:rFonts w:ascii="宋体" w:hAnsi="宋体"/>
          <w:sz w:val="24"/>
          <w:szCs w:val="24"/>
        </w:rPr>
      </w:pPr>
      <w:r>
        <w:rPr>
          <w:rFonts w:hint="eastAsia" w:ascii="宋体" w:hAnsi="宋体"/>
          <w:sz w:val="24"/>
          <w:szCs w:val="24"/>
        </w:rPr>
        <w:t>根据项目实际情况，经甲乙双方友好协商，订立本补充协议，就</w:t>
      </w:r>
      <w:r>
        <w:rPr>
          <w:rFonts w:hint="eastAsia" w:ascii="宋体" w:hAnsi="宋体" w:cs="宋体"/>
          <w:sz w:val="24"/>
          <w:szCs w:val="24"/>
        </w:rPr>
        <w:t>《</w:t>
      </w:r>
      <w:r>
        <w:rPr>
          <w:rFonts w:hint="eastAsia" w:ascii="宋体" w:hAnsi="宋体"/>
          <w:sz w:val="24"/>
          <w:szCs w:val="24"/>
        </w:rPr>
        <w:t>广东省人民医院</w:t>
      </w:r>
      <w:r>
        <w:rPr>
          <w:rFonts w:hint="eastAsia" w:ascii="宋体" w:hAnsi="宋体"/>
          <w:color w:val="FF0000"/>
          <w:sz w:val="24"/>
          <w:szCs w:val="24"/>
        </w:rPr>
        <w:t>工程</w:t>
      </w:r>
      <w:r>
        <w:rPr>
          <w:rFonts w:hint="eastAsia" w:ascii="宋体" w:hAnsi="宋体"/>
          <w:sz w:val="24"/>
          <w:szCs w:val="24"/>
        </w:rPr>
        <w:t>定点采购合同</w:t>
      </w:r>
      <w:r>
        <w:rPr>
          <w:rFonts w:hint="eastAsia" w:ascii="宋体" w:hAnsi="宋体" w:cs="宋体"/>
          <w:sz w:val="24"/>
          <w:szCs w:val="24"/>
        </w:rPr>
        <w:t>》</w:t>
      </w:r>
      <w:r>
        <w:rPr>
          <w:rFonts w:hint="eastAsia" w:ascii="宋体" w:hAnsi="宋体"/>
          <w:sz w:val="24"/>
          <w:szCs w:val="24"/>
        </w:rPr>
        <w:t>（合同编号：合同金额（人民币）</w:t>
      </w:r>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元</w:t>
      </w:r>
      <w:r>
        <w:rPr>
          <w:rFonts w:hint="eastAsia" w:ascii="宋体" w:hAnsi="宋体"/>
          <w:sz w:val="24"/>
          <w:szCs w:val="24"/>
        </w:rPr>
        <w:t>，以下简称“原合同”）补充变更以下原则条款，双方共同遵守执行。</w:t>
      </w:r>
    </w:p>
    <w:p w14:paraId="4264FA65">
      <w:pPr>
        <w:pStyle w:val="9"/>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删除条款</w:t>
      </w:r>
    </w:p>
    <w:p w14:paraId="4B84CBDD">
      <w:pPr>
        <w:pStyle w:val="9"/>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删除合同5.5条款中的“自工程移交甲方管理日起计算，修缮工程保修期为2年，在保修期内因施工造成的工程质量问题,甲方应书面通知乙方并约定时间进行修理。”</w:t>
      </w:r>
    </w:p>
    <w:p w14:paraId="1DCEB1A3">
      <w:pPr>
        <w:pStyle w:val="9"/>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删除合同7.2条。</w:t>
      </w:r>
    </w:p>
    <w:p w14:paraId="237DA010">
      <w:pPr>
        <w:pStyle w:val="9"/>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删除合同7.4.3条款中的“Ⅱ、按施工当期项目所在地工程造价信息相关文件对应品牌材料设备的厂商信息价格下浮10%结算；”。</w:t>
      </w:r>
    </w:p>
    <w:p w14:paraId="70076B59">
      <w:pPr>
        <w:pStyle w:val="9"/>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删除合同7.4.5-（2）～（3）。</w:t>
      </w:r>
    </w:p>
    <w:p w14:paraId="377555BE">
      <w:pPr>
        <w:pStyle w:val="9"/>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变更条款</w:t>
      </w:r>
    </w:p>
    <w:p w14:paraId="6CE60DD1">
      <w:pPr>
        <w:pStyle w:val="9"/>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合同2.1条款中的“乙方的设计施工图纸”，修改为“设计施工图纸”。</w:t>
      </w:r>
    </w:p>
    <w:p w14:paraId="2ADC1A74">
      <w:pPr>
        <w:pStyle w:val="9"/>
        <w:widowControl/>
        <w:numPr>
          <w:ilvl w:val="0"/>
          <w:numId w:val="3"/>
        </w:numPr>
        <w:spacing w:before="0" w:beforeAutospacing="0" w:after="0" w:afterAutospacing="0" w:line="460" w:lineRule="exact"/>
        <w:ind w:firstLine="480" w:firstLineChars="200"/>
        <w:rPr>
          <w:rFonts w:ascii="仿宋" w:hAnsi="仿宋" w:eastAsia="仿宋" w:cs="宋体"/>
          <w:sz w:val="28"/>
          <w:szCs w:val="28"/>
        </w:rPr>
      </w:pPr>
      <w:r>
        <w:rPr>
          <w:rFonts w:hint="eastAsia" w:ascii="宋体" w:hAnsi="宋体"/>
          <w:kern w:val="2"/>
          <w:szCs w:val="24"/>
        </w:rPr>
        <w:t>合同4.4条款中的“经甲方现场代表签证后”，修改为“经甲方现场代表书面确认后（该事项需按甲方院内流程审批通过）”。</w:t>
      </w:r>
    </w:p>
    <w:p w14:paraId="2E8E7883">
      <w:pPr>
        <w:pStyle w:val="9"/>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5.2条款中的“乙方应于验收前24小时通知甲方，甲方代表接到通知后24小时内应到现场检验”，修改为“乙方应于隐蔽或中间验收前48小时向监理工程师或甲方代表提出验收申请，通知设计方、监理方及甲方相关人员验收。通知的内容包括工程隐蔽或中间验收的内容、时间、地点，以及自检记录和必要的验收资料。乙方应准备验收记录，并提供必要的资料和协助”。</w:t>
      </w:r>
    </w:p>
    <w:p w14:paraId="437F0CC8">
      <w:pPr>
        <w:pStyle w:val="9"/>
        <w:widowControl/>
        <w:numPr>
          <w:ilvl w:val="0"/>
          <w:numId w:val="3"/>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合同5.4条款中的“但甲方应承认竣工日期，并承担乙方的看管费用和相关费用”，修改为“若验收合格，甲方应承认双方确定的竣工日期”。</w:t>
      </w:r>
    </w:p>
    <w:p w14:paraId="3783A24B">
      <w:pPr>
        <w:pStyle w:val="9"/>
        <w:widowControl/>
        <w:numPr>
          <w:ilvl w:val="0"/>
          <w:numId w:val="2"/>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合同7.1条款中的“当市场价格波动超过甲乙双方约定的范围，……但调整的金额不得超过原合同采购金额的百分之十”，修改为“乙方所编写的综合单价在合同期内，不因由于燃料、电费、运输费、货币汇率升降、工资、材料差价等任何情况引致的价格波动而调整”。</w:t>
      </w:r>
    </w:p>
    <w:p w14:paraId="048395FE">
      <w:pPr>
        <w:pStyle w:val="9"/>
        <w:widowControl/>
        <w:numPr>
          <w:ilvl w:val="0"/>
          <w:numId w:val="1"/>
        </w:numPr>
        <w:spacing w:before="0" w:beforeAutospacing="0" w:after="0" w:afterAutospacing="0" w:line="460" w:lineRule="exact"/>
        <w:ind w:firstLine="400"/>
        <w:rPr>
          <w:rFonts w:ascii="宋体" w:hAnsi="宋体"/>
          <w:b/>
          <w:bCs/>
          <w:kern w:val="2"/>
          <w:szCs w:val="24"/>
        </w:rPr>
      </w:pPr>
      <w:r>
        <w:rPr>
          <w:rFonts w:hint="eastAsia" w:ascii="宋体" w:hAnsi="宋体"/>
          <w:b/>
          <w:bCs/>
          <w:kern w:val="2"/>
          <w:szCs w:val="24"/>
        </w:rPr>
        <w:t>增加条款</w:t>
      </w:r>
    </w:p>
    <w:p w14:paraId="3C5F33A6">
      <w:pPr>
        <w:numPr>
          <w:ilvl w:val="0"/>
          <w:numId w:val="4"/>
        </w:numPr>
        <w:spacing w:line="360" w:lineRule="auto"/>
        <w:ind w:firstLine="480" w:firstLineChars="200"/>
        <w:rPr>
          <w:rFonts w:ascii="宋体" w:hAnsi="宋体"/>
          <w:sz w:val="24"/>
          <w:szCs w:val="24"/>
        </w:rPr>
      </w:pPr>
      <w:r>
        <w:rPr>
          <w:rFonts w:hint="eastAsia" w:ascii="宋体" w:hAnsi="宋体"/>
          <w:sz w:val="24"/>
          <w:szCs w:val="24"/>
        </w:rPr>
        <w:t>合同7.1条款增加“结算工程量以甲方和监理单位确认的现场签证和竣工图纸工程量为依据。措施项目费总价包干，结算时不因本工程实际工程量的增减、工程变更、施工组织设计的修改及其它因素而调整。</w:t>
      </w:r>
      <w:r>
        <w:rPr>
          <w:rFonts w:hint="eastAsia" w:ascii="宋体" w:hAnsi="宋体"/>
          <w:sz w:val="24"/>
          <w:szCs w:val="24"/>
          <w:lang w:val="hr-HR"/>
        </w:rPr>
        <w:t>本项目合同结算价不得超合同价款的10%。</w:t>
      </w:r>
      <w:r>
        <w:rPr>
          <w:rFonts w:hint="eastAsia" w:ascii="宋体" w:hAnsi="宋体"/>
          <w:sz w:val="24"/>
          <w:szCs w:val="24"/>
        </w:rPr>
        <w:t>”</w:t>
      </w:r>
    </w:p>
    <w:p w14:paraId="7F9662A4">
      <w:pPr>
        <w:numPr>
          <w:ilvl w:val="0"/>
          <w:numId w:val="4"/>
        </w:numPr>
        <w:spacing w:line="360" w:lineRule="auto"/>
        <w:ind w:firstLine="480" w:firstLineChars="200"/>
        <w:rPr>
          <w:rFonts w:ascii="宋体" w:hAnsi="宋体"/>
          <w:sz w:val="24"/>
          <w:szCs w:val="24"/>
        </w:rPr>
      </w:pPr>
      <w:r>
        <w:rPr>
          <w:rFonts w:hint="eastAsia" w:ascii="宋体" w:hAnsi="宋体"/>
          <w:sz w:val="24"/>
          <w:szCs w:val="24"/>
        </w:rPr>
        <w:t>合同7.4.2条款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14:paraId="04B551AD">
      <w:pPr>
        <w:numPr>
          <w:ilvl w:val="0"/>
          <w:numId w:val="4"/>
        </w:numPr>
        <w:spacing w:line="360" w:lineRule="auto"/>
        <w:ind w:firstLine="480" w:firstLineChars="200"/>
        <w:rPr>
          <w:rFonts w:ascii="宋体" w:hAnsi="宋体"/>
          <w:sz w:val="24"/>
          <w:szCs w:val="24"/>
        </w:rPr>
      </w:pPr>
      <w:r>
        <w:rPr>
          <w:rFonts w:hint="eastAsia" w:ascii="宋体" w:hAnsi="宋体"/>
          <w:sz w:val="24"/>
          <w:szCs w:val="24"/>
        </w:rPr>
        <w:t>暂列金额</w:t>
      </w:r>
    </w:p>
    <w:p w14:paraId="2C8CE18B">
      <w:pPr>
        <w:spacing w:line="360" w:lineRule="auto"/>
        <w:ind w:firstLine="480" w:firstLineChars="200"/>
        <w:rPr>
          <w:rFonts w:ascii="宋体" w:hAnsi="宋体"/>
          <w:sz w:val="24"/>
          <w:szCs w:val="24"/>
        </w:rPr>
      </w:pPr>
      <w:r>
        <w:rPr>
          <w:rFonts w:hint="eastAsia" w:ascii="宋体" w:hAnsi="宋体"/>
          <w:sz w:val="24"/>
          <w:szCs w:val="24"/>
        </w:rPr>
        <w:t>本项目的暂列金额为：元，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14:paraId="07C01DBF">
      <w:pPr>
        <w:numPr>
          <w:ilvl w:val="0"/>
          <w:numId w:val="4"/>
        </w:numPr>
        <w:spacing w:line="360" w:lineRule="auto"/>
        <w:ind w:firstLine="480" w:firstLineChars="200"/>
        <w:rPr>
          <w:rFonts w:ascii="宋体" w:hAnsi="宋体"/>
          <w:sz w:val="24"/>
          <w:szCs w:val="24"/>
        </w:rPr>
      </w:pPr>
      <w:r>
        <w:rPr>
          <w:rFonts w:hint="eastAsia" w:ascii="宋体" w:hAnsi="宋体"/>
          <w:sz w:val="24"/>
          <w:szCs w:val="24"/>
        </w:rPr>
        <w:t>专业工程暂估价</w:t>
      </w:r>
    </w:p>
    <w:p w14:paraId="5F92194C">
      <w:pPr>
        <w:numPr>
          <w:ilvl w:val="255"/>
          <w:numId w:val="0"/>
        </w:numPr>
        <w:spacing w:line="360" w:lineRule="auto"/>
        <w:ind w:firstLine="480" w:firstLineChars="200"/>
        <w:rPr>
          <w:rFonts w:ascii="宋体" w:hAnsi="宋体"/>
          <w:sz w:val="24"/>
          <w:szCs w:val="24"/>
        </w:rPr>
      </w:pPr>
      <w:r>
        <w:rPr>
          <w:rFonts w:hint="eastAsia" w:ascii="宋体" w:hAnsi="宋体"/>
          <w:sz w:val="24"/>
          <w:szCs w:val="24"/>
        </w:rPr>
        <w:t>本合同专业工程暂估价金额为：元，主要包括。暂估价项目由乙方按照合同约定采购，经甲方确认单价后取代专业工程暂估价，调整合同价款。暂估价项目工程价款的确定按照合同第7.4条约定执行。</w:t>
      </w:r>
    </w:p>
    <w:p w14:paraId="66FAC024">
      <w:pPr>
        <w:numPr>
          <w:ilvl w:val="0"/>
          <w:numId w:val="4"/>
        </w:numPr>
        <w:spacing w:line="360" w:lineRule="auto"/>
        <w:ind w:firstLine="480" w:firstLineChars="200"/>
        <w:rPr>
          <w:rFonts w:ascii="宋体" w:hAnsi="宋体"/>
          <w:sz w:val="24"/>
          <w:szCs w:val="24"/>
        </w:rPr>
      </w:pPr>
      <w:r>
        <w:rPr>
          <w:rFonts w:hint="eastAsia" w:ascii="宋体" w:hAnsi="宋体"/>
          <w:sz w:val="24"/>
          <w:szCs w:val="24"/>
        </w:rPr>
        <w:t>主要材料、设备品牌参考表（详见附件2）</w:t>
      </w:r>
    </w:p>
    <w:p w14:paraId="13118C45">
      <w:pPr>
        <w:spacing w:line="360" w:lineRule="auto"/>
        <w:ind w:firstLine="480" w:firstLineChars="200"/>
        <w:rPr>
          <w:rFonts w:ascii="宋体" w:hAnsi="宋体"/>
          <w:sz w:val="24"/>
          <w:szCs w:val="24"/>
        </w:rPr>
      </w:pPr>
      <w:r>
        <w:rPr>
          <w:rFonts w:hint="eastAsia" w:ascii="宋体" w:hAnsi="宋体"/>
          <w:sz w:val="24"/>
          <w:szCs w:val="24"/>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14:paraId="78E72D3D">
      <w:pPr>
        <w:numPr>
          <w:ilvl w:val="0"/>
          <w:numId w:val="4"/>
        </w:numPr>
        <w:spacing w:line="360" w:lineRule="auto"/>
        <w:ind w:firstLine="480" w:firstLineChars="200"/>
        <w:rPr>
          <w:rFonts w:ascii="宋体" w:hAnsi="宋体"/>
          <w:sz w:val="24"/>
          <w:szCs w:val="24"/>
        </w:rPr>
      </w:pPr>
      <w:r>
        <w:rPr>
          <w:rFonts w:hint="eastAsia" w:ascii="宋体" w:hAnsi="宋体"/>
          <w:sz w:val="24"/>
          <w:szCs w:val="24"/>
        </w:rPr>
        <w:t>工程质量保修</w:t>
      </w:r>
    </w:p>
    <w:p w14:paraId="59DAC5FE">
      <w:pPr>
        <w:spacing w:line="360" w:lineRule="auto"/>
        <w:ind w:firstLine="480" w:firstLineChars="200"/>
        <w:rPr>
          <w:rFonts w:ascii="宋体" w:hAnsi="宋体"/>
          <w:sz w:val="24"/>
          <w:szCs w:val="24"/>
        </w:rPr>
      </w:pPr>
      <w:r>
        <w:rPr>
          <w:rFonts w:hint="eastAsia" w:ascii="宋体" w:hAnsi="宋体"/>
          <w:sz w:val="24"/>
          <w:szCs w:val="24"/>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14:paraId="213B1E77">
      <w:pPr>
        <w:spacing w:line="360" w:lineRule="auto"/>
        <w:ind w:firstLine="480" w:firstLineChars="200"/>
        <w:rPr>
          <w:rFonts w:ascii="宋体" w:hAnsi="宋体"/>
          <w:sz w:val="24"/>
          <w:szCs w:val="24"/>
        </w:rPr>
      </w:pPr>
      <w:r>
        <w:rPr>
          <w:rFonts w:hint="eastAsia" w:ascii="宋体" w:hAnsi="宋体"/>
          <w:sz w:val="24"/>
          <w:szCs w:val="24"/>
        </w:rPr>
        <w:t>合同工程质量保修期，要求如下：</w:t>
      </w:r>
    </w:p>
    <w:p w14:paraId="3C731DE6">
      <w:pPr>
        <w:numPr>
          <w:ilvl w:val="0"/>
          <w:numId w:val="5"/>
        </w:numPr>
        <w:spacing w:line="360" w:lineRule="auto"/>
        <w:ind w:firstLine="480" w:firstLineChars="200"/>
        <w:rPr>
          <w:rFonts w:ascii="宋体" w:hAnsi="宋体"/>
          <w:sz w:val="24"/>
          <w:szCs w:val="24"/>
        </w:rPr>
      </w:pPr>
      <w:r>
        <w:rPr>
          <w:rFonts w:hint="eastAsia" w:ascii="宋体" w:hAnsi="宋体"/>
          <w:sz w:val="24"/>
          <w:szCs w:val="24"/>
        </w:rPr>
        <w:t>地基基础工程、主体结构工程为设计文件规定的合理使用年限；</w:t>
      </w:r>
    </w:p>
    <w:p w14:paraId="53290791">
      <w:pPr>
        <w:numPr>
          <w:ilvl w:val="0"/>
          <w:numId w:val="5"/>
        </w:numPr>
        <w:spacing w:line="360" w:lineRule="auto"/>
        <w:ind w:firstLine="480" w:firstLineChars="200"/>
        <w:rPr>
          <w:rFonts w:ascii="宋体" w:hAnsi="宋体"/>
          <w:sz w:val="24"/>
          <w:szCs w:val="24"/>
        </w:rPr>
      </w:pPr>
      <w:r>
        <w:rPr>
          <w:rFonts w:hint="eastAsia" w:ascii="宋体" w:hAnsi="宋体"/>
          <w:sz w:val="24"/>
          <w:szCs w:val="24"/>
        </w:rPr>
        <w:t>屋面防水工程、有防水要求的卫生间、房间和外墙面的防渗漏工程为五年；</w:t>
      </w:r>
    </w:p>
    <w:p w14:paraId="597CCF98">
      <w:pPr>
        <w:numPr>
          <w:ilvl w:val="0"/>
          <w:numId w:val="5"/>
        </w:numPr>
        <w:spacing w:line="360" w:lineRule="auto"/>
        <w:ind w:firstLine="480" w:firstLineChars="200"/>
        <w:rPr>
          <w:rFonts w:ascii="宋体" w:hAnsi="宋体"/>
          <w:sz w:val="24"/>
          <w:szCs w:val="24"/>
        </w:rPr>
      </w:pPr>
      <w:r>
        <w:rPr>
          <w:rFonts w:hint="eastAsia" w:ascii="宋体" w:hAnsi="宋体"/>
          <w:sz w:val="24"/>
          <w:szCs w:val="24"/>
        </w:rPr>
        <w:t>电气管线工程、给排水管道工程、设备安装工程为</w:t>
      </w:r>
      <w:r>
        <w:rPr>
          <w:rFonts w:hint="eastAsia" w:ascii="宋体" w:hAnsi="宋体"/>
          <w:color w:val="FF0000"/>
          <w:sz w:val="24"/>
          <w:szCs w:val="24"/>
        </w:rPr>
        <w:t>三年</w:t>
      </w:r>
      <w:r>
        <w:rPr>
          <w:rFonts w:hint="eastAsia" w:ascii="宋体" w:hAnsi="宋体"/>
          <w:sz w:val="24"/>
          <w:szCs w:val="24"/>
        </w:rPr>
        <w:t>；</w:t>
      </w:r>
    </w:p>
    <w:p w14:paraId="3B3E6871">
      <w:pPr>
        <w:numPr>
          <w:ilvl w:val="0"/>
          <w:numId w:val="5"/>
        </w:numPr>
        <w:spacing w:line="360" w:lineRule="auto"/>
        <w:ind w:firstLine="480" w:firstLineChars="200"/>
        <w:rPr>
          <w:rFonts w:ascii="宋体" w:hAnsi="宋体"/>
          <w:sz w:val="24"/>
          <w:szCs w:val="24"/>
        </w:rPr>
      </w:pPr>
      <w:r>
        <w:rPr>
          <w:rFonts w:hint="eastAsia" w:ascii="宋体" w:hAnsi="宋体"/>
          <w:sz w:val="24"/>
          <w:szCs w:val="24"/>
        </w:rPr>
        <w:t>供热、供冷系统工程为</w:t>
      </w:r>
      <w:r>
        <w:rPr>
          <w:rFonts w:hint="eastAsia" w:ascii="宋体" w:hAnsi="宋体"/>
          <w:color w:val="FF0000"/>
          <w:sz w:val="24"/>
          <w:szCs w:val="24"/>
        </w:rPr>
        <w:t>三个</w:t>
      </w:r>
      <w:r>
        <w:rPr>
          <w:rFonts w:hint="eastAsia" w:ascii="宋体" w:hAnsi="宋体"/>
          <w:sz w:val="24"/>
          <w:szCs w:val="24"/>
        </w:rPr>
        <w:t>采暖期、供冷期；</w:t>
      </w:r>
    </w:p>
    <w:p w14:paraId="16919AD4">
      <w:pPr>
        <w:numPr>
          <w:ilvl w:val="0"/>
          <w:numId w:val="5"/>
        </w:numPr>
        <w:spacing w:line="360" w:lineRule="auto"/>
        <w:ind w:firstLine="480" w:firstLineChars="200"/>
        <w:rPr>
          <w:rFonts w:ascii="宋体" w:hAnsi="宋体"/>
          <w:sz w:val="24"/>
          <w:szCs w:val="24"/>
        </w:rPr>
      </w:pPr>
      <w:r>
        <w:rPr>
          <w:rFonts w:hint="eastAsia" w:ascii="宋体" w:hAnsi="宋体"/>
          <w:sz w:val="24"/>
          <w:szCs w:val="24"/>
        </w:rPr>
        <w:t>装饰装修工程为</w:t>
      </w:r>
      <w:r>
        <w:rPr>
          <w:rFonts w:hint="eastAsia" w:ascii="宋体" w:hAnsi="宋体"/>
          <w:color w:val="FF0000"/>
          <w:sz w:val="24"/>
          <w:szCs w:val="24"/>
        </w:rPr>
        <w:t>三年</w:t>
      </w:r>
      <w:r>
        <w:rPr>
          <w:rFonts w:hint="eastAsia" w:ascii="宋体" w:hAnsi="宋体"/>
          <w:sz w:val="24"/>
          <w:szCs w:val="24"/>
        </w:rPr>
        <w:t>。</w:t>
      </w:r>
    </w:p>
    <w:p w14:paraId="0C551CB5">
      <w:pPr>
        <w:spacing w:line="360" w:lineRule="auto"/>
        <w:ind w:firstLine="480" w:firstLineChars="200"/>
        <w:rPr>
          <w:rFonts w:ascii="宋体" w:hAnsi="宋体"/>
          <w:sz w:val="24"/>
          <w:szCs w:val="24"/>
        </w:rPr>
      </w:pPr>
      <w:r>
        <w:rPr>
          <w:rFonts w:hint="eastAsia" w:ascii="宋体" w:hAnsi="宋体"/>
          <w:sz w:val="24"/>
          <w:szCs w:val="24"/>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14:paraId="2B20D6FF">
      <w:pPr>
        <w:numPr>
          <w:ilvl w:val="0"/>
          <w:numId w:val="4"/>
        </w:numPr>
        <w:spacing w:line="360" w:lineRule="auto"/>
        <w:ind w:firstLine="480" w:firstLineChars="200"/>
        <w:rPr>
          <w:rFonts w:ascii="宋体" w:hAnsi="宋体"/>
          <w:sz w:val="24"/>
          <w:szCs w:val="24"/>
        </w:rPr>
      </w:pPr>
      <w:r>
        <w:rPr>
          <w:rFonts w:hint="eastAsia" w:ascii="宋体" w:hAnsi="宋体"/>
          <w:sz w:val="24"/>
          <w:szCs w:val="24"/>
        </w:rPr>
        <w:t>工期延误方面的违约责任</w:t>
      </w:r>
    </w:p>
    <w:p w14:paraId="0763CCA9">
      <w:pPr>
        <w:spacing w:line="360" w:lineRule="auto"/>
        <w:ind w:firstLine="480" w:firstLineChars="200"/>
        <w:rPr>
          <w:rFonts w:ascii="宋体" w:hAnsi="宋体"/>
          <w:sz w:val="24"/>
          <w:szCs w:val="24"/>
        </w:rPr>
      </w:pPr>
      <w:r>
        <w:rPr>
          <w:rFonts w:hint="eastAsia" w:ascii="宋体" w:hAnsi="宋体"/>
          <w:sz w:val="24"/>
          <w:szCs w:val="24"/>
        </w:rPr>
        <w:t>乙方未经监理工程师及甲方同意延期开工的，每迟延开工1天，应向甲方支付本工程合同价款的 1 ‰的违约金；迟延开工超过10天的，甲方有权部分解除合同或解除合同。</w:t>
      </w:r>
    </w:p>
    <w:p w14:paraId="5A22156A">
      <w:pPr>
        <w:spacing w:line="360" w:lineRule="auto"/>
        <w:ind w:firstLine="480" w:firstLineChars="200"/>
        <w:rPr>
          <w:rFonts w:ascii="宋体" w:hAnsi="宋体"/>
          <w:strike/>
          <w:color w:val="FF0000"/>
          <w:sz w:val="24"/>
          <w:szCs w:val="24"/>
        </w:rPr>
      </w:pPr>
      <w:r>
        <w:rPr>
          <w:rFonts w:hint="eastAsia" w:ascii="宋体" w:hAnsi="宋体"/>
          <w:sz w:val="24"/>
          <w:szCs w:val="24"/>
        </w:rPr>
        <w:t>乙方违反合同条款约定造成本工程不能按照约定的竣工日期竣工的（非乙方原因造成工期延误的除外），每逾期1天，乙方必须</w:t>
      </w:r>
      <w:r>
        <w:rPr>
          <w:rFonts w:hint="eastAsia" w:ascii="宋体" w:hAnsi="宋体"/>
          <w:color w:val="FF0000"/>
          <w:sz w:val="24"/>
          <w:szCs w:val="24"/>
          <w:u w:val="single"/>
        </w:rPr>
        <w:t>向甲方支付违约金50000元，</w:t>
      </w:r>
      <w:r>
        <w:rPr>
          <w:rFonts w:hint="eastAsia" w:ascii="宋体" w:hAnsi="宋体"/>
          <w:color w:val="FF0000"/>
          <w:sz w:val="24"/>
          <w:szCs w:val="24"/>
        </w:rPr>
        <w:t>不设最高上限。</w:t>
      </w:r>
    </w:p>
    <w:p w14:paraId="11E120B6">
      <w:pPr>
        <w:numPr>
          <w:ilvl w:val="0"/>
          <w:numId w:val="4"/>
        </w:numPr>
        <w:spacing w:line="360" w:lineRule="auto"/>
        <w:ind w:firstLine="480" w:firstLineChars="200"/>
        <w:rPr>
          <w:rFonts w:ascii="宋体" w:hAnsi="宋体"/>
          <w:sz w:val="24"/>
          <w:szCs w:val="24"/>
        </w:rPr>
      </w:pPr>
      <w:r>
        <w:rPr>
          <w:rFonts w:hint="eastAsia" w:ascii="宋体" w:hAnsi="宋体"/>
          <w:sz w:val="24"/>
          <w:szCs w:val="24"/>
          <w:lang w:val="hr-HR"/>
        </w:rPr>
        <w:t>项目消防验收，乙方应提供消防验收所需的全部资料，配合甲方完成消防验收工作。</w:t>
      </w:r>
    </w:p>
    <w:p w14:paraId="76D6975E">
      <w:pPr>
        <w:pStyle w:val="9"/>
        <w:widowControl/>
        <w:numPr>
          <w:ilvl w:val="0"/>
          <w:numId w:val="4"/>
        </w:numPr>
        <w:spacing w:before="0" w:beforeAutospacing="0" w:after="0" w:afterAutospacing="0" w:line="460" w:lineRule="exact"/>
        <w:ind w:firstLine="480" w:firstLineChars="200"/>
        <w:rPr>
          <w:rFonts w:ascii="宋体" w:hAnsi="宋体"/>
          <w:kern w:val="2"/>
          <w:szCs w:val="24"/>
        </w:rPr>
      </w:pPr>
      <w:r>
        <w:rPr>
          <w:rFonts w:hint="eastAsia" w:ascii="宋体" w:hAnsi="宋体"/>
          <w:kern w:val="2"/>
          <w:szCs w:val="24"/>
        </w:rPr>
        <w:t>未经甲方或监理发开工令原则上不允许提前开工，可以提前进场做开工前的准备工作，但不予补偿。</w:t>
      </w:r>
    </w:p>
    <w:p w14:paraId="04A5C8E0">
      <w:pPr>
        <w:pStyle w:val="9"/>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本补充协议生效后，即成为原合同的组成部分，与原合同具有同等法律效力。原合同与本补充协议不一致的，则以本补充协议条款规定为准；本补充协议条款没有约定，则按照原合同约定执行。</w:t>
      </w:r>
    </w:p>
    <w:p w14:paraId="33BC70DD">
      <w:pPr>
        <w:pStyle w:val="9"/>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本补充协议一式四份，双方各执二份，双方当事人约定本协议自双方签字、盖章后生效。</w:t>
      </w:r>
    </w:p>
    <w:p w14:paraId="5AAD9FD5">
      <w:pPr>
        <w:pStyle w:val="9"/>
        <w:widowControl/>
        <w:numPr>
          <w:ilvl w:val="0"/>
          <w:numId w:val="1"/>
        </w:numPr>
        <w:spacing w:before="0" w:beforeAutospacing="0" w:after="0" w:afterAutospacing="0" w:line="460" w:lineRule="exact"/>
        <w:ind w:firstLine="400"/>
        <w:rPr>
          <w:rFonts w:ascii="宋体" w:hAnsi="宋体"/>
          <w:kern w:val="2"/>
          <w:szCs w:val="24"/>
        </w:rPr>
      </w:pPr>
      <w:r>
        <w:rPr>
          <w:rFonts w:hint="eastAsia" w:ascii="宋体" w:hAnsi="宋体"/>
          <w:kern w:val="2"/>
          <w:szCs w:val="24"/>
        </w:rPr>
        <w:t>附件</w:t>
      </w:r>
    </w:p>
    <w:p w14:paraId="38C1FB52">
      <w:pPr>
        <w:pStyle w:val="9"/>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报价明细</w:t>
      </w:r>
    </w:p>
    <w:p w14:paraId="16E45D24">
      <w:pPr>
        <w:pStyle w:val="9"/>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主要材料、设备品牌参考表</w:t>
      </w:r>
    </w:p>
    <w:p w14:paraId="5CC0F341">
      <w:pPr>
        <w:pStyle w:val="9"/>
        <w:widowControl/>
        <w:numPr>
          <w:ilvl w:val="0"/>
          <w:numId w:val="6"/>
        </w:numPr>
        <w:spacing w:before="0" w:beforeAutospacing="0" w:after="0" w:afterAutospacing="0" w:line="460" w:lineRule="exact"/>
        <w:ind w:left="400"/>
        <w:rPr>
          <w:rFonts w:ascii="宋体" w:hAnsi="宋体"/>
          <w:kern w:val="2"/>
          <w:szCs w:val="24"/>
        </w:rPr>
      </w:pPr>
      <w:r>
        <w:rPr>
          <w:rFonts w:hint="eastAsia" w:ascii="宋体" w:hAnsi="宋体"/>
          <w:kern w:val="2"/>
          <w:szCs w:val="24"/>
        </w:rPr>
        <w:t>廉洁诚信合同</w:t>
      </w:r>
    </w:p>
    <w:p w14:paraId="52C03F47">
      <w:pPr>
        <w:rPr>
          <w:rFonts w:ascii="宋体" w:hAnsi="宋体"/>
          <w:sz w:val="24"/>
          <w:szCs w:val="24"/>
        </w:rPr>
      </w:pPr>
    </w:p>
    <w:p w14:paraId="537C5107">
      <w:pPr>
        <w:rPr>
          <w:rFonts w:ascii="宋体" w:hAnsi="宋体"/>
          <w:sz w:val="24"/>
          <w:szCs w:val="24"/>
        </w:rPr>
      </w:pPr>
    </w:p>
    <w:p w14:paraId="77761994">
      <w:pPr>
        <w:spacing w:line="360" w:lineRule="auto"/>
        <w:ind w:left="5040" w:hanging="5040" w:hangingChars="2100"/>
        <w:rPr>
          <w:rFonts w:ascii="宋体" w:hAnsi="宋体" w:cs="宋体"/>
          <w:kern w:val="0"/>
          <w:sz w:val="24"/>
          <w:szCs w:val="24"/>
        </w:rPr>
      </w:pPr>
      <w:r>
        <w:rPr>
          <w:rFonts w:hint="eastAsia" w:ascii="宋体" w:hAnsi="宋体" w:cs="宋体"/>
          <w:kern w:val="0"/>
          <w:sz w:val="24"/>
          <w:szCs w:val="24"/>
        </w:rPr>
        <w:t>甲方：（盖章）                     乙方：</w:t>
      </w:r>
      <w:r>
        <w:rPr>
          <w:rFonts w:hint="eastAsia" w:ascii="宋体" w:hAnsi="宋体" w:cs="宋体"/>
          <w:kern w:val="0"/>
          <w:sz w:val="24"/>
          <w:szCs w:val="24"/>
          <w:lang w:val="en-US" w:eastAsia="zh-CN"/>
        </w:rPr>
        <w:t>***</w:t>
      </w:r>
      <w:r>
        <w:rPr>
          <w:rFonts w:hint="eastAsia" w:ascii="宋体" w:hAnsi="宋体" w:cs="宋体"/>
          <w:kern w:val="0"/>
          <w:sz w:val="24"/>
          <w:szCs w:val="24"/>
        </w:rPr>
        <w:t>（盖章）</w:t>
      </w:r>
    </w:p>
    <w:p w14:paraId="6AE09321">
      <w:pPr>
        <w:spacing w:line="360" w:lineRule="auto"/>
        <w:ind w:left="4961" w:hanging="4960" w:hangingChars="2067"/>
        <w:rPr>
          <w:rFonts w:hint="default" w:ascii="宋体" w:hAnsi="宋体" w:eastAsia="宋体" w:cs="宋体"/>
          <w:kern w:val="0"/>
          <w:sz w:val="24"/>
          <w:szCs w:val="24"/>
          <w:lang w:val="en-US" w:eastAsia="zh-CN"/>
        </w:rPr>
      </w:pPr>
      <w:r>
        <w:rPr>
          <w:rFonts w:hint="eastAsia" w:ascii="宋体" w:hAnsi="宋体" w:cs="宋体"/>
          <w:kern w:val="0"/>
          <w:sz w:val="24"/>
          <w:szCs w:val="24"/>
        </w:rPr>
        <w:t>地址：广州市中山二路106号         地址：</w:t>
      </w:r>
      <w:r>
        <w:rPr>
          <w:rFonts w:hint="eastAsia" w:ascii="宋体" w:hAnsi="宋体" w:cs="宋体"/>
          <w:kern w:val="0"/>
          <w:sz w:val="24"/>
          <w:szCs w:val="24"/>
          <w:lang w:val="en-US" w:eastAsia="zh-CN"/>
        </w:rPr>
        <w:t>***</w:t>
      </w:r>
    </w:p>
    <w:p w14:paraId="2F33331E">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法定代表人：                       法定代表人：</w:t>
      </w:r>
      <w:r>
        <w:rPr>
          <w:rFonts w:hint="eastAsia" w:ascii="宋体" w:hAnsi="宋体" w:cs="宋体"/>
          <w:kern w:val="0"/>
          <w:sz w:val="24"/>
          <w:szCs w:val="24"/>
          <w:lang w:val="en-US" w:eastAsia="zh-CN"/>
        </w:rPr>
        <w:t>***</w:t>
      </w:r>
    </w:p>
    <w:p w14:paraId="386E0923">
      <w:pPr>
        <w:spacing w:line="360" w:lineRule="auto"/>
        <w:rPr>
          <w:rFonts w:ascii="宋体" w:hAnsi="宋体" w:cs="宋体"/>
          <w:kern w:val="0"/>
          <w:sz w:val="24"/>
          <w:szCs w:val="24"/>
        </w:rPr>
      </w:pPr>
      <w:r>
        <w:rPr>
          <w:rFonts w:hint="eastAsia" w:ascii="宋体" w:hAnsi="宋体" w:cs="宋体"/>
          <w:kern w:val="0"/>
          <w:sz w:val="24"/>
          <w:szCs w:val="24"/>
        </w:rPr>
        <w:t>或委托代理人：                     或委托代理人：</w:t>
      </w:r>
    </w:p>
    <w:p w14:paraId="6781AE03">
      <w:pPr>
        <w:spacing w:line="360" w:lineRule="auto"/>
        <w:rPr>
          <w:rFonts w:ascii="宋体" w:hAnsi="宋体" w:cs="宋体"/>
          <w:kern w:val="0"/>
          <w:sz w:val="24"/>
          <w:szCs w:val="24"/>
        </w:rPr>
      </w:pPr>
      <w:r>
        <w:rPr>
          <w:rFonts w:hint="eastAsia" w:ascii="宋体" w:hAnsi="宋体" w:cs="宋体"/>
          <w:kern w:val="0"/>
          <w:sz w:val="24"/>
          <w:szCs w:val="24"/>
        </w:rPr>
        <w:t xml:space="preserve">电    话：020－83827812            电    话： </w:t>
      </w:r>
      <w:r>
        <w:rPr>
          <w:rFonts w:hint="eastAsia" w:ascii="宋体" w:hAnsi="宋体" w:cs="宋体"/>
          <w:kern w:val="0"/>
          <w:sz w:val="24"/>
          <w:szCs w:val="24"/>
          <w:lang w:val="en-US" w:eastAsia="zh-CN"/>
        </w:rPr>
        <w:t>***</w:t>
      </w:r>
    </w:p>
    <w:p w14:paraId="519450E2">
      <w:pPr>
        <w:spacing w:line="360" w:lineRule="auto"/>
        <w:ind w:left="5280" w:hanging="5280" w:hangingChars="2200"/>
        <w:rPr>
          <w:rFonts w:hint="default" w:ascii="宋体" w:hAnsi="宋体" w:eastAsia="宋体" w:cs="宋体"/>
          <w:color w:val="FF0000"/>
          <w:kern w:val="0"/>
          <w:sz w:val="24"/>
          <w:szCs w:val="24"/>
          <w:lang w:val="en-US" w:eastAsia="zh-CN"/>
        </w:rPr>
      </w:pPr>
      <w:r>
        <w:rPr>
          <w:rFonts w:hint="eastAsia" w:ascii="宋体" w:hAnsi="宋体" w:cs="宋体"/>
          <w:kern w:val="0"/>
          <w:sz w:val="24"/>
          <w:szCs w:val="24"/>
        </w:rPr>
        <w:t>开户银行：</w:t>
      </w:r>
      <w:r>
        <w:rPr>
          <w:rFonts w:hint="eastAsia" w:ascii="宋体" w:hAnsi="宋体" w:cs="Arial"/>
          <w:bCs/>
          <w:szCs w:val="21"/>
        </w:rPr>
        <w:t xml:space="preserve">中国工商银行广州白云路支行  </w:t>
      </w:r>
      <w:r>
        <w:rPr>
          <w:rFonts w:hint="eastAsia" w:ascii="宋体" w:hAnsi="宋体" w:cs="宋体"/>
          <w:kern w:val="0"/>
          <w:sz w:val="24"/>
          <w:szCs w:val="24"/>
        </w:rPr>
        <w:t>开户银行：</w:t>
      </w:r>
      <w:r>
        <w:rPr>
          <w:rFonts w:hint="eastAsia" w:ascii="宋体" w:hAnsi="宋体" w:cs="宋体"/>
          <w:kern w:val="0"/>
          <w:sz w:val="24"/>
          <w:szCs w:val="24"/>
          <w:lang w:val="en-US" w:eastAsia="zh-CN"/>
        </w:rPr>
        <w:t>***</w:t>
      </w:r>
    </w:p>
    <w:p w14:paraId="37EF8FDE">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帐    号：</w:t>
      </w:r>
      <w:r>
        <w:rPr>
          <w:rFonts w:hint="eastAsia" w:ascii="宋体" w:hAnsi="宋体" w:cs="Arial"/>
          <w:bCs/>
          <w:sz w:val="24"/>
          <w:szCs w:val="24"/>
        </w:rPr>
        <w:t xml:space="preserve">3602004409001385770 </w:t>
      </w:r>
      <w:r>
        <w:rPr>
          <w:rFonts w:hint="eastAsia" w:ascii="宋体" w:hAnsi="宋体" w:cs="宋体"/>
          <w:kern w:val="0"/>
          <w:sz w:val="24"/>
          <w:szCs w:val="24"/>
        </w:rPr>
        <w:t xml:space="preserve">     帐    号：</w:t>
      </w:r>
      <w:r>
        <w:rPr>
          <w:rFonts w:hint="eastAsia" w:ascii="宋体" w:hAnsi="宋体" w:cs="宋体"/>
          <w:kern w:val="0"/>
          <w:sz w:val="24"/>
          <w:szCs w:val="24"/>
          <w:lang w:val="en-US" w:eastAsia="zh-CN"/>
        </w:rPr>
        <w:t>***</w:t>
      </w:r>
    </w:p>
    <w:p w14:paraId="45833744">
      <w:pPr>
        <w:spacing w:line="360" w:lineRule="auto"/>
        <w:rPr>
          <w:rFonts w:hint="default" w:ascii="宋体" w:hAnsi="宋体" w:eastAsia="宋体" w:cs="宋体"/>
          <w:kern w:val="0"/>
          <w:sz w:val="24"/>
          <w:szCs w:val="24"/>
          <w:lang w:val="en-US" w:eastAsia="zh-CN"/>
        </w:rPr>
      </w:pPr>
      <w:r>
        <w:rPr>
          <w:rFonts w:hint="eastAsia" w:ascii="宋体" w:hAnsi="宋体" w:cs="宋体"/>
          <w:kern w:val="0"/>
          <w:sz w:val="24"/>
          <w:szCs w:val="24"/>
        </w:rPr>
        <w:t>邮政编码：510080                   邮政编码：</w:t>
      </w:r>
      <w:r>
        <w:rPr>
          <w:rFonts w:hint="eastAsia" w:ascii="宋体" w:hAnsi="宋体" w:cs="宋体"/>
          <w:kern w:val="0"/>
          <w:sz w:val="24"/>
          <w:szCs w:val="24"/>
          <w:lang w:val="en-US" w:eastAsia="zh-CN"/>
        </w:rPr>
        <w:t>***</w:t>
      </w:r>
    </w:p>
    <w:p w14:paraId="1E666156">
      <w:pPr>
        <w:spacing w:line="360" w:lineRule="auto"/>
        <w:rPr>
          <w:rFonts w:hint="default" w:ascii="宋体" w:hAnsi="宋体" w:eastAsia="宋体" w:cs="宋体"/>
          <w:color w:val="FF0000"/>
          <w:kern w:val="0"/>
          <w:sz w:val="24"/>
          <w:szCs w:val="24"/>
          <w:lang w:val="en-US" w:eastAsia="zh-CN"/>
        </w:rPr>
      </w:pPr>
      <w:r>
        <w:rPr>
          <w:rFonts w:hint="eastAsia" w:ascii="宋体" w:hAnsi="宋体" w:cs="宋体"/>
          <w:kern w:val="0"/>
          <w:sz w:val="24"/>
          <w:szCs w:val="24"/>
        </w:rPr>
        <w:t>电子邮箱：                         电子邮箱：</w:t>
      </w:r>
      <w:r>
        <w:rPr>
          <w:rFonts w:hint="eastAsia" w:ascii="宋体" w:hAnsi="宋体" w:cs="宋体"/>
          <w:kern w:val="0"/>
          <w:sz w:val="24"/>
          <w:szCs w:val="24"/>
          <w:lang w:val="en-US" w:eastAsia="zh-CN"/>
        </w:rPr>
        <w:t>***</w:t>
      </w:r>
    </w:p>
    <w:p w14:paraId="4A4D34E6">
      <w:pPr>
        <w:rPr>
          <w:rFonts w:ascii="宋体" w:hAnsi="宋体"/>
          <w:sz w:val="24"/>
          <w:szCs w:val="24"/>
        </w:rPr>
      </w:pPr>
    </w:p>
    <w:p w14:paraId="64F228EF">
      <w:pPr>
        <w:jc w:val="center"/>
        <w:rPr>
          <w:rFonts w:ascii="宋体" w:hAnsi="宋体"/>
          <w:sz w:val="24"/>
          <w:szCs w:val="24"/>
        </w:rPr>
      </w:pPr>
      <w:r>
        <w:rPr>
          <w:rFonts w:hint="eastAsia" w:ascii="宋体" w:hAnsi="宋体"/>
          <w:sz w:val="24"/>
          <w:szCs w:val="24"/>
        </w:rPr>
        <w:t>签订日期：2024年   月   日</w:t>
      </w:r>
    </w:p>
    <w:p w14:paraId="7E8A805C">
      <w:pPr>
        <w:rPr>
          <w:rFonts w:ascii="宋体" w:hAnsi="宋体"/>
          <w:sz w:val="24"/>
          <w:szCs w:val="24"/>
        </w:rPr>
      </w:pPr>
    </w:p>
    <w:p w14:paraId="5780EDB0">
      <w:pPr>
        <w:rPr>
          <w:rFonts w:ascii="宋体" w:hAnsi="宋体"/>
          <w:sz w:val="24"/>
          <w:szCs w:val="24"/>
        </w:rPr>
      </w:pPr>
    </w:p>
    <w:p w14:paraId="13E2EF5F">
      <w:pPr>
        <w:rPr>
          <w:rFonts w:ascii="宋体" w:hAnsi="宋体"/>
          <w:sz w:val="24"/>
          <w:szCs w:val="24"/>
        </w:rPr>
      </w:pPr>
    </w:p>
    <w:p w14:paraId="18A78426">
      <w:pPr>
        <w:rPr>
          <w:rFonts w:ascii="宋体" w:hAnsi="宋体"/>
          <w:sz w:val="24"/>
          <w:szCs w:val="24"/>
        </w:rPr>
      </w:pPr>
    </w:p>
    <w:p w14:paraId="747B6F18">
      <w:pPr>
        <w:rPr>
          <w:rFonts w:ascii="宋体" w:hAnsi="宋体" w:cs="宋体"/>
          <w:b/>
          <w:bCs/>
          <w:kern w:val="0"/>
          <w:sz w:val="24"/>
          <w:szCs w:val="24"/>
        </w:rPr>
      </w:pPr>
      <w:r>
        <w:rPr>
          <w:rFonts w:hint="eastAsia" w:ascii="宋体" w:hAnsi="宋体" w:cs="宋体"/>
          <w:b/>
          <w:bCs/>
          <w:kern w:val="0"/>
          <w:sz w:val="24"/>
          <w:szCs w:val="24"/>
        </w:rPr>
        <w:br w:type="page"/>
      </w:r>
    </w:p>
    <w:p w14:paraId="460FA170">
      <w:pPr>
        <w:spacing w:line="360" w:lineRule="auto"/>
        <w:jc w:val="left"/>
      </w:pPr>
      <w:r>
        <w:rPr>
          <w:rFonts w:hint="eastAsia" w:ascii="宋体" w:hAnsi="宋体" w:cs="宋体"/>
          <w:b/>
          <w:bCs/>
          <w:kern w:val="0"/>
          <w:sz w:val="24"/>
          <w:szCs w:val="24"/>
        </w:rPr>
        <w:t>附件1：报价明细</w:t>
      </w:r>
    </w:p>
    <w:p w14:paraId="2CEB1EAD">
      <w:pPr>
        <w:rPr>
          <w:rFonts w:ascii="宋体" w:hAnsi="宋体" w:cs="宋体"/>
          <w:b/>
          <w:bCs/>
          <w:kern w:val="0"/>
          <w:sz w:val="24"/>
          <w:szCs w:val="24"/>
        </w:rPr>
      </w:pPr>
      <w:r>
        <w:rPr>
          <w:rFonts w:hint="eastAsia" w:ascii="宋体" w:hAnsi="宋体" w:cs="宋体"/>
          <w:b/>
          <w:bCs/>
          <w:kern w:val="0"/>
          <w:sz w:val="24"/>
          <w:szCs w:val="24"/>
        </w:rPr>
        <w:br w:type="page"/>
      </w:r>
    </w:p>
    <w:p w14:paraId="33536E42">
      <w:pPr>
        <w:spacing w:line="360" w:lineRule="auto"/>
        <w:jc w:val="left"/>
        <w:rPr>
          <w:rFonts w:ascii="宋体" w:hAnsi="宋体" w:cs="宋体"/>
          <w:b/>
          <w:bCs/>
          <w:kern w:val="0"/>
          <w:sz w:val="24"/>
          <w:szCs w:val="24"/>
        </w:rPr>
      </w:pPr>
      <w:r>
        <w:rPr>
          <w:rFonts w:hint="eastAsia" w:ascii="宋体" w:hAnsi="宋体" w:cs="宋体"/>
          <w:b/>
          <w:bCs/>
          <w:kern w:val="0"/>
          <w:sz w:val="24"/>
          <w:szCs w:val="24"/>
        </w:rPr>
        <w:t>附件2：主要材料、设备品牌参考表</w:t>
      </w:r>
    </w:p>
    <w:p w14:paraId="7E5999CA">
      <w:pPr>
        <w:rPr>
          <w:rFonts w:ascii="宋体" w:hAnsi="宋体" w:cs="宋体"/>
          <w:b/>
          <w:bCs/>
          <w:kern w:val="0"/>
          <w:sz w:val="24"/>
          <w:szCs w:val="24"/>
        </w:rPr>
      </w:pPr>
      <w:r>
        <w:rPr>
          <w:rFonts w:hint="eastAsia" w:ascii="宋体" w:hAnsi="宋体" w:cs="宋体"/>
          <w:b/>
          <w:bCs/>
          <w:kern w:val="0"/>
          <w:sz w:val="24"/>
          <w:szCs w:val="24"/>
        </w:rPr>
        <w:br w:type="page"/>
      </w:r>
    </w:p>
    <w:p w14:paraId="5DC35019">
      <w:pPr>
        <w:topLinePunct/>
        <w:autoSpaceDE w:val="0"/>
        <w:autoSpaceDN w:val="0"/>
        <w:spacing w:line="360" w:lineRule="auto"/>
        <w:jc w:val="left"/>
        <w:rPr>
          <w:rFonts w:ascii="宋体" w:hAnsi="宋体" w:cs="宋体"/>
          <w:b/>
          <w:bCs/>
          <w:kern w:val="0"/>
          <w:sz w:val="24"/>
          <w:szCs w:val="24"/>
        </w:rPr>
      </w:pPr>
      <w:r>
        <w:rPr>
          <w:rFonts w:hint="eastAsia" w:ascii="宋体" w:hAnsi="宋体" w:cs="宋体"/>
          <w:b/>
          <w:bCs/>
          <w:kern w:val="0"/>
          <w:sz w:val="24"/>
          <w:szCs w:val="24"/>
        </w:rPr>
        <w:t>附件3</w:t>
      </w:r>
      <w:bookmarkStart w:id="0" w:name="_GoBack"/>
      <w:bookmarkEnd w:id="0"/>
    </w:p>
    <w:p w14:paraId="75A5323B">
      <w:pPr>
        <w:keepNext w:val="0"/>
        <w:keepLines w:val="0"/>
        <w:pageBreakBefore w:val="0"/>
        <w:widowControl w:val="0"/>
        <w:kinsoku/>
        <w:wordWrap/>
        <w:overflowPunct/>
        <w:bidi w:val="0"/>
        <w:adjustRightInd/>
        <w:snapToGrid/>
        <w:spacing w:before="271" w:line="590" w:lineRule="exact"/>
        <w:ind w:left="3164"/>
        <w:textAlignment w:val="auto"/>
        <w:rPr>
          <w:rFonts w:ascii="微软雅黑" w:hAnsi="微软雅黑" w:eastAsia="微软雅黑" w:cs="微软雅黑"/>
          <w:sz w:val="44"/>
          <w:szCs w:val="44"/>
        </w:rPr>
      </w:pPr>
      <w:r>
        <w:rPr>
          <w:rFonts w:ascii="微软雅黑" w:hAnsi="微软雅黑" w:eastAsia="微软雅黑" w:cs="微软雅黑"/>
          <w:spacing w:val="-3"/>
          <w:position w:val="-2"/>
          <w:sz w:val="44"/>
          <w:szCs w:val="44"/>
        </w:rPr>
        <w:t>廉洁协议书</w:t>
      </w:r>
    </w:p>
    <w:p w14:paraId="54BF07A1">
      <w:pPr>
        <w:pStyle w:val="4"/>
        <w:keepNext w:val="0"/>
        <w:keepLines w:val="0"/>
        <w:pageBreakBefore w:val="0"/>
        <w:widowControl w:val="0"/>
        <w:kinsoku/>
        <w:wordWrap/>
        <w:overflowPunct/>
        <w:topLinePunct w:val="0"/>
        <w:autoSpaceDE/>
        <w:autoSpaceDN/>
        <w:bidi w:val="0"/>
        <w:adjustRightInd/>
        <w:snapToGrid/>
        <w:spacing w:line="500" w:lineRule="exact"/>
        <w:ind w:left="689"/>
        <w:textAlignment w:val="auto"/>
        <w:rPr>
          <w:rFonts w:hint="eastAsia" w:ascii="宋体" w:hAnsi="宋体" w:eastAsia="宋体" w:cs="Times New Roman"/>
          <w:color w:val="auto"/>
          <w:kern w:val="2"/>
          <w:sz w:val="24"/>
          <w:szCs w:val="24"/>
          <w:highlight w:val="none"/>
          <w:lang w:val="en-US" w:eastAsia="zh-CN" w:bidi="ar-SA"/>
        </w:rPr>
      </w:pPr>
    </w:p>
    <w:p w14:paraId="4E873277">
      <w:pPr>
        <w:pStyle w:val="4"/>
        <w:keepNext w:val="0"/>
        <w:keepLines w:val="0"/>
        <w:pageBreakBefore w:val="0"/>
        <w:widowControl w:val="0"/>
        <w:kinsoku/>
        <w:wordWrap/>
        <w:overflowPunct/>
        <w:topLinePunct w:val="0"/>
        <w:autoSpaceDE/>
        <w:autoSpaceDN/>
        <w:bidi w:val="0"/>
        <w:adjustRightInd/>
        <w:snapToGrid/>
        <w:spacing w:line="460" w:lineRule="exact"/>
        <w:ind w:left="689"/>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甲方：广东省人民医院</w:t>
      </w:r>
    </w:p>
    <w:p w14:paraId="671A7970">
      <w:pPr>
        <w:pStyle w:val="4"/>
        <w:keepNext w:val="0"/>
        <w:keepLines w:val="0"/>
        <w:pageBreakBefore w:val="0"/>
        <w:widowControl w:val="0"/>
        <w:kinsoku/>
        <w:wordWrap/>
        <w:overflowPunct/>
        <w:topLinePunct w:val="0"/>
        <w:autoSpaceDE/>
        <w:autoSpaceDN/>
        <w:bidi w:val="0"/>
        <w:adjustRightInd/>
        <w:snapToGrid/>
        <w:spacing w:line="460" w:lineRule="exact"/>
        <w:ind w:left="687"/>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w:t>
      </w:r>
    </w:p>
    <w:p w14:paraId="6FA36B86">
      <w:pPr>
        <w:pStyle w:val="4"/>
        <w:keepNext w:val="0"/>
        <w:keepLines w:val="0"/>
        <w:pageBreakBefore w:val="0"/>
        <w:widowControl w:val="0"/>
        <w:kinsoku/>
        <w:wordWrap/>
        <w:overflowPunct/>
        <w:topLinePunct w:val="0"/>
        <w:autoSpaceDE/>
        <w:autoSpaceDN/>
        <w:bidi w:val="0"/>
        <w:adjustRightInd/>
        <w:snapToGrid/>
        <w:spacing w:line="460" w:lineRule="exact"/>
        <w:ind w:left="2" w:right="9" w:firstLine="65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为加强医药领域廉洁风险防控，根据《关于加强公立医疗机构廉洁风险防控的指导意见》《医疗机构工作人员廉洁   从业九项准则》《纠正医药购销领域和医疗服务中不正之风   工作要点》等有关法律法规，在公开、平等、自愿的原则下， 经甲乙双方共同协商，就</w:t>
      </w:r>
      <w:r>
        <w:rPr>
          <w:rFonts w:hint="eastAsia" w:ascii="宋体" w:hAnsi="宋体" w:eastAsia="宋体" w:cs="Times New Roman"/>
          <w:color w:val="auto"/>
          <w:kern w:val="2"/>
          <w:sz w:val="24"/>
          <w:szCs w:val="24"/>
          <w:highlight w:val="none"/>
          <w:u w:val="single"/>
          <w:lang w:val="en-US" w:eastAsia="zh-CN" w:bidi="ar-SA"/>
        </w:rPr>
        <w:t>广东省人民医院伟伦楼整体改造工程保运营措施项目</w:t>
      </w:r>
      <w:r>
        <w:rPr>
          <w:rFonts w:hint="eastAsia" w:ascii="宋体" w:hAnsi="宋体" w:eastAsia="宋体" w:cs="Times New Roman"/>
          <w:color w:val="auto"/>
          <w:kern w:val="2"/>
          <w:sz w:val="24"/>
          <w:szCs w:val="24"/>
          <w:highlight w:val="none"/>
          <w:lang w:val="en-US" w:eastAsia="zh-CN" w:bidi="ar-SA"/>
        </w:rPr>
        <w:t>事宜（项目），达成</w:t>
      </w:r>
    </w:p>
    <w:p w14:paraId="09C7F262">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廉洁协议如下：</w:t>
      </w:r>
    </w:p>
    <w:p w14:paraId="1F61AA72">
      <w:pPr>
        <w:pStyle w:val="4"/>
        <w:keepNext w:val="0"/>
        <w:keepLines w:val="0"/>
        <w:pageBreakBefore w:val="0"/>
        <w:widowControl w:val="0"/>
        <w:kinsoku/>
        <w:wordWrap/>
        <w:overflowPunct/>
        <w:topLinePunct w:val="0"/>
        <w:autoSpaceDE/>
        <w:autoSpaceDN/>
        <w:bidi w:val="0"/>
        <w:adjustRightInd/>
        <w:snapToGrid/>
        <w:spacing w:line="460" w:lineRule="exact"/>
        <w:ind w:left="66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一、甲乙双方的共同责任</w:t>
      </w:r>
    </w:p>
    <w:p w14:paraId="6956797A">
      <w:pPr>
        <w:pStyle w:val="4"/>
        <w:keepNext w:val="0"/>
        <w:keepLines w:val="0"/>
        <w:pageBreakBefore w:val="0"/>
        <w:widowControl w:val="0"/>
        <w:kinsoku/>
        <w:wordWrap/>
        <w:overflowPunct/>
        <w:topLinePunct w:val="0"/>
        <w:autoSpaceDE/>
        <w:autoSpaceDN/>
        <w:bidi w:val="0"/>
        <w:adjustRightInd/>
        <w:snapToGrid/>
        <w:spacing w:line="460" w:lineRule="exact"/>
        <w:ind w:left="66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1.严格遵守国家的法律法规及廉政建设有关规定。</w:t>
      </w:r>
    </w:p>
    <w:p w14:paraId="603BE9B0">
      <w:pPr>
        <w:pStyle w:val="4"/>
        <w:keepNext w:val="0"/>
        <w:keepLines w:val="0"/>
        <w:pageBreakBefore w:val="0"/>
        <w:widowControl w:val="0"/>
        <w:kinsoku/>
        <w:wordWrap/>
        <w:overflowPunct/>
        <w:topLinePunct w:val="0"/>
        <w:autoSpaceDE/>
        <w:autoSpaceDN/>
        <w:bidi w:val="0"/>
        <w:adjustRightInd/>
        <w:snapToGrid/>
        <w:spacing w:line="460" w:lineRule="exact"/>
        <w:ind w:left="65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2.共同营造廉洁、诚信、公平、公正的业务交往环境。</w:t>
      </w:r>
    </w:p>
    <w:p w14:paraId="1C6CFB20">
      <w:pPr>
        <w:pStyle w:val="4"/>
        <w:keepNext w:val="0"/>
        <w:keepLines w:val="0"/>
        <w:pageBreakBefore w:val="0"/>
        <w:widowControl w:val="0"/>
        <w:kinsoku/>
        <w:wordWrap/>
        <w:overflowPunct/>
        <w:topLinePunct w:val="0"/>
        <w:autoSpaceDE/>
        <w:autoSpaceDN/>
        <w:bidi w:val="0"/>
        <w:adjustRightInd/>
        <w:snapToGrid/>
        <w:spacing w:line="460" w:lineRule="exact"/>
        <w:ind w:left="668"/>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3.加强对本单位有关人员的管理和教育， 自觉抵制违反</w:t>
      </w:r>
    </w:p>
    <w:p w14:paraId="3DA89E38">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廉洁规定的行为。</w:t>
      </w:r>
    </w:p>
    <w:p w14:paraId="27592440">
      <w:pPr>
        <w:pStyle w:val="4"/>
        <w:keepNext w:val="0"/>
        <w:keepLines w:val="0"/>
        <w:pageBreakBefore w:val="0"/>
        <w:widowControl w:val="0"/>
        <w:kinsoku/>
        <w:wordWrap/>
        <w:overflowPunct/>
        <w:topLinePunct w:val="0"/>
        <w:autoSpaceDE/>
        <w:autoSpaceDN/>
        <w:bidi w:val="0"/>
        <w:adjustRightInd/>
        <w:snapToGrid/>
        <w:spacing w:line="460" w:lineRule="exact"/>
        <w:ind w:left="66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二、甲方及其人员的责任</w:t>
      </w:r>
    </w:p>
    <w:p w14:paraId="3D798225">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1.应向乙方介绍本单位有关廉洁管理的各项制度和规定。</w:t>
      </w:r>
    </w:p>
    <w:p w14:paraId="1EA6EE9F">
      <w:pPr>
        <w:pStyle w:val="4"/>
        <w:keepNext w:val="0"/>
        <w:keepLines w:val="0"/>
        <w:pageBreakBefore w:val="0"/>
        <w:widowControl w:val="0"/>
        <w:kinsoku/>
        <w:wordWrap/>
        <w:overflowPunct/>
        <w:topLinePunct w:val="0"/>
        <w:autoSpaceDE/>
        <w:autoSpaceDN/>
        <w:bidi w:val="0"/>
        <w:adjustRightInd/>
        <w:snapToGrid/>
        <w:spacing w:line="460" w:lineRule="exact"/>
        <w:ind w:left="65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2.应当保持与乙方的正常业务交往。</w:t>
      </w:r>
    </w:p>
    <w:p w14:paraId="20F21711">
      <w:pPr>
        <w:pStyle w:val="4"/>
        <w:keepNext w:val="0"/>
        <w:keepLines w:val="0"/>
        <w:pageBreakBefore w:val="0"/>
        <w:widowControl w:val="0"/>
        <w:kinsoku/>
        <w:wordWrap/>
        <w:overflowPunct/>
        <w:topLinePunct w:val="0"/>
        <w:autoSpaceDE/>
        <w:autoSpaceDN/>
        <w:bidi w:val="0"/>
        <w:adjustRightInd/>
        <w:snapToGrid/>
        <w:spacing w:line="460" w:lineRule="exact"/>
        <w:ind w:left="7" w:right="434" w:firstLine="66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3.不得以任何形式向乙方索取、收受回扣，不得接受乙 方的礼金、有价证券和礼品，不得在乙方报销任何应由个人支付的费用。</w:t>
      </w:r>
    </w:p>
    <w:p w14:paraId="577466F0">
      <w:pPr>
        <w:pStyle w:val="4"/>
        <w:keepNext w:val="0"/>
        <w:keepLines w:val="0"/>
        <w:pageBreakBefore w:val="0"/>
        <w:widowControl w:val="0"/>
        <w:kinsoku/>
        <w:wordWrap/>
        <w:overflowPunct/>
        <w:topLinePunct w:val="0"/>
        <w:autoSpaceDE/>
        <w:autoSpaceDN/>
        <w:bidi w:val="0"/>
        <w:adjustRightInd/>
        <w:snapToGrid/>
        <w:spacing w:line="460" w:lineRule="exact"/>
        <w:ind w:left="657"/>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4.不得参加乙方组织的宴请、旅游、娱乐活动。</w:t>
      </w:r>
    </w:p>
    <w:p w14:paraId="46E8FB99">
      <w:pPr>
        <w:pStyle w:val="4"/>
        <w:keepNext w:val="0"/>
        <w:keepLines w:val="0"/>
        <w:pageBreakBefore w:val="0"/>
        <w:widowControl w:val="0"/>
        <w:kinsoku/>
        <w:wordWrap/>
        <w:overflowPunct/>
        <w:topLinePunct w:val="0"/>
        <w:autoSpaceDE/>
        <w:autoSpaceDN/>
        <w:bidi w:val="0"/>
        <w:adjustRightInd/>
        <w:snapToGrid/>
        <w:spacing w:line="460" w:lineRule="exact"/>
        <w:ind w:left="66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5.不得要求或接受乙方为其住宅装修、婚丧嫁娶、家属</w:t>
      </w:r>
    </w:p>
    <w:p w14:paraId="556D0328">
      <w:pPr>
        <w:pStyle w:val="4"/>
        <w:keepNext w:val="0"/>
        <w:keepLines w:val="0"/>
        <w:pageBreakBefore w:val="0"/>
        <w:widowControl w:val="0"/>
        <w:kinsoku/>
        <w:wordWrap/>
        <w:overflowPunct/>
        <w:topLinePunct w:val="0"/>
        <w:autoSpaceDE/>
        <w:autoSpaceDN/>
        <w:bidi w:val="0"/>
        <w:adjustRightInd/>
        <w:snapToGrid/>
        <w:spacing w:line="460" w:lineRule="exact"/>
        <w:ind w:left="1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和子女的工作安排以及出国等提供方便。</w:t>
      </w:r>
    </w:p>
    <w:p w14:paraId="46ECC8DE">
      <w:pPr>
        <w:pStyle w:val="4"/>
        <w:keepNext w:val="0"/>
        <w:keepLines w:val="0"/>
        <w:pageBreakBefore w:val="0"/>
        <w:widowControl w:val="0"/>
        <w:kinsoku/>
        <w:wordWrap/>
        <w:overflowPunct/>
        <w:topLinePunct w:val="0"/>
        <w:autoSpaceDE/>
        <w:autoSpaceDN/>
        <w:bidi w:val="0"/>
        <w:adjustRightInd/>
        <w:snapToGrid/>
        <w:spacing w:line="460" w:lineRule="exact"/>
        <w:ind w:left="661"/>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6.甲方工作人员不得向乙方介绍家属或者亲友从事项目相关的经济活动。</w:t>
      </w:r>
    </w:p>
    <w:p w14:paraId="4C0662AC">
      <w:pPr>
        <w:pStyle w:val="4"/>
        <w:keepNext w:val="0"/>
        <w:keepLines w:val="0"/>
        <w:pageBreakBefore w:val="0"/>
        <w:widowControl w:val="0"/>
        <w:kinsoku/>
        <w:wordWrap/>
        <w:overflowPunct/>
        <w:topLinePunct w:val="0"/>
        <w:autoSpaceDE/>
        <w:autoSpaceDN/>
        <w:bidi w:val="0"/>
        <w:adjustRightInd/>
        <w:snapToGrid/>
        <w:spacing w:line="460" w:lineRule="exact"/>
        <w:ind w:left="661"/>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7.不得在乙方及其相关单位投资入股，不得向乙方单位及人员借款或委托买卖股票、债券等。</w:t>
      </w:r>
    </w:p>
    <w:p w14:paraId="4E7BF45A">
      <w:pPr>
        <w:pStyle w:val="4"/>
        <w:keepNext w:val="0"/>
        <w:keepLines w:val="0"/>
        <w:pageBreakBefore w:val="0"/>
        <w:widowControl w:val="0"/>
        <w:kinsoku/>
        <w:wordWrap/>
        <w:overflowPunct/>
        <w:topLinePunct w:val="0"/>
        <w:autoSpaceDE/>
        <w:autoSpaceDN/>
        <w:bidi w:val="0"/>
        <w:adjustRightInd/>
        <w:snapToGrid/>
        <w:spacing w:line="460" w:lineRule="exact"/>
        <w:ind w:left="661"/>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8.不得在乙方或乙方相关单位兼职和领取兼职工资及报</w:t>
      </w:r>
    </w:p>
    <w:p w14:paraId="25DF9EBC">
      <w:pPr>
        <w:pStyle w:val="4"/>
        <w:keepNext w:val="0"/>
        <w:keepLines w:val="0"/>
        <w:pageBreakBefore w:val="0"/>
        <w:widowControl w:val="0"/>
        <w:kinsoku/>
        <w:wordWrap/>
        <w:overflowPunct/>
        <w:topLinePunct w:val="0"/>
        <w:autoSpaceDE/>
        <w:autoSpaceDN/>
        <w:bidi w:val="0"/>
        <w:adjustRightInd/>
        <w:snapToGrid/>
        <w:spacing w:line="460" w:lineRule="exact"/>
        <w:ind w:left="1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酬；不得利用双方的商业秘密谋取个人私利。</w:t>
      </w:r>
    </w:p>
    <w:p w14:paraId="0EBB5DCD">
      <w:pPr>
        <w:pStyle w:val="4"/>
        <w:keepNext w:val="0"/>
        <w:keepLines w:val="0"/>
        <w:pageBreakBefore w:val="0"/>
        <w:widowControl w:val="0"/>
        <w:kinsoku/>
        <w:wordWrap/>
        <w:overflowPunct/>
        <w:topLinePunct w:val="0"/>
        <w:autoSpaceDE/>
        <w:autoSpaceDN/>
        <w:bidi w:val="0"/>
        <w:adjustRightInd/>
        <w:snapToGrid/>
        <w:spacing w:line="460" w:lineRule="exact"/>
        <w:ind w:left="21" w:right="163" w:firstLine="64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9.不得利用职权和工作之便向乙方提出上述各项事项之 外其它违背党规党纪、国家法律法规和本院廉洁自律有关规定的事项或要求。</w:t>
      </w:r>
    </w:p>
    <w:p w14:paraId="5D67C978">
      <w:pPr>
        <w:pStyle w:val="4"/>
        <w:keepNext w:val="0"/>
        <w:keepLines w:val="0"/>
        <w:pageBreakBefore w:val="0"/>
        <w:widowControl w:val="0"/>
        <w:kinsoku/>
        <w:wordWrap/>
        <w:overflowPunct/>
        <w:topLinePunct w:val="0"/>
        <w:autoSpaceDE/>
        <w:autoSpaceDN/>
        <w:bidi w:val="0"/>
        <w:adjustRightInd/>
        <w:snapToGrid/>
        <w:spacing w:line="460" w:lineRule="exact"/>
        <w:ind w:left="67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三、乙方及其人员的责任</w:t>
      </w:r>
    </w:p>
    <w:p w14:paraId="1338E6E2">
      <w:pPr>
        <w:pStyle w:val="4"/>
        <w:keepNext w:val="0"/>
        <w:keepLines w:val="0"/>
        <w:pageBreakBefore w:val="0"/>
        <w:widowControl w:val="0"/>
        <w:kinsoku/>
        <w:wordWrap/>
        <w:overflowPunct/>
        <w:topLinePunct w:val="0"/>
        <w:autoSpaceDE/>
        <w:autoSpaceDN/>
        <w:bidi w:val="0"/>
        <w:adjustRightInd/>
        <w:snapToGrid/>
        <w:spacing w:line="460" w:lineRule="exact"/>
        <w:ind w:left="13" w:right="163" w:firstLine="65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1.不得以任何形式向甲方及其人员提供礼金、有价证券 和礼品、贵重物品等，不得为甲方及其人员报销应由甲方或甲方个人支付的费用。</w:t>
      </w:r>
    </w:p>
    <w:p w14:paraId="3E7E781E">
      <w:pPr>
        <w:pStyle w:val="4"/>
        <w:keepNext w:val="0"/>
        <w:keepLines w:val="0"/>
        <w:pageBreakBefore w:val="0"/>
        <w:widowControl w:val="0"/>
        <w:kinsoku/>
        <w:wordWrap/>
        <w:overflowPunct/>
        <w:topLinePunct w:val="0"/>
        <w:autoSpaceDE/>
        <w:autoSpaceDN/>
        <w:bidi w:val="0"/>
        <w:adjustRightInd/>
        <w:snapToGrid/>
        <w:spacing w:line="460" w:lineRule="exact"/>
        <w:ind w:left="659"/>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2.不得为甲方及其人员在乙方投资入股、个人借款等提供方便。</w:t>
      </w:r>
    </w:p>
    <w:p w14:paraId="14984D57">
      <w:pPr>
        <w:pStyle w:val="4"/>
        <w:keepNext w:val="0"/>
        <w:keepLines w:val="0"/>
        <w:pageBreakBefore w:val="0"/>
        <w:widowControl w:val="0"/>
        <w:kinsoku/>
        <w:wordWrap/>
        <w:overflowPunct/>
        <w:topLinePunct w:val="0"/>
        <w:autoSpaceDE/>
        <w:autoSpaceDN/>
        <w:bidi w:val="0"/>
        <w:adjustRightInd/>
        <w:snapToGrid/>
        <w:spacing w:line="460" w:lineRule="exact"/>
        <w:ind w:left="671"/>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3.不得为甲方及其人员购买或装修住房， 为婚丧嫁娶、配偶和子女工作</w:t>
      </w:r>
    </w:p>
    <w:p w14:paraId="58E30BCA">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安排或上学等提供方便。</w:t>
      </w:r>
    </w:p>
    <w:p w14:paraId="365F1A4F">
      <w:pPr>
        <w:pStyle w:val="4"/>
        <w:keepNext w:val="0"/>
        <w:keepLines w:val="0"/>
        <w:pageBreakBefore w:val="0"/>
        <w:widowControl w:val="0"/>
        <w:kinsoku/>
        <w:wordWrap/>
        <w:overflowPunct/>
        <w:topLinePunct w:val="0"/>
        <w:autoSpaceDE/>
        <w:autoSpaceDN/>
        <w:bidi w:val="0"/>
        <w:adjustRightInd/>
        <w:snapToGrid/>
        <w:spacing w:line="460" w:lineRule="exact"/>
        <w:ind w:left="657"/>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4.不得为甲方及其人员安排宴请以及旅游、健身、娱乐等活动。</w:t>
      </w:r>
    </w:p>
    <w:p w14:paraId="42D68733">
      <w:pPr>
        <w:pStyle w:val="4"/>
        <w:keepNext w:val="0"/>
        <w:keepLines w:val="0"/>
        <w:pageBreakBefore w:val="0"/>
        <w:widowControl w:val="0"/>
        <w:kinsoku/>
        <w:wordWrap/>
        <w:overflowPunct/>
        <w:topLinePunct w:val="0"/>
        <w:autoSpaceDE/>
        <w:autoSpaceDN/>
        <w:bidi w:val="0"/>
        <w:adjustRightInd/>
        <w:snapToGrid/>
        <w:spacing w:line="460" w:lineRule="exact"/>
        <w:ind w:left="662"/>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5.不得为甲方及其人员的配偶、子女及其它亲属谋取不</w:t>
      </w:r>
    </w:p>
    <w:p w14:paraId="684AE65A">
      <w:pPr>
        <w:pStyle w:val="4"/>
        <w:keepNext w:val="0"/>
        <w:keepLines w:val="0"/>
        <w:pageBreakBefore w:val="0"/>
        <w:widowControl w:val="0"/>
        <w:kinsoku/>
        <w:wordWrap/>
        <w:overflowPunct/>
        <w:topLinePunct w:val="0"/>
        <w:autoSpaceDE/>
        <w:autoSpaceDN/>
        <w:bidi w:val="0"/>
        <w:adjustRightInd/>
        <w:snapToGrid/>
        <w:spacing w:line="460" w:lineRule="exact"/>
        <w:ind w:left="1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正当利益提供方便。</w:t>
      </w:r>
    </w:p>
    <w:p w14:paraId="481FCC7B">
      <w:pPr>
        <w:pStyle w:val="4"/>
        <w:keepNext w:val="0"/>
        <w:keepLines w:val="0"/>
        <w:pageBreakBefore w:val="0"/>
        <w:widowControl w:val="0"/>
        <w:kinsoku/>
        <w:wordWrap/>
        <w:overflowPunct/>
        <w:topLinePunct w:val="0"/>
        <w:autoSpaceDE/>
        <w:autoSpaceDN/>
        <w:bidi w:val="0"/>
        <w:adjustRightInd/>
        <w:snapToGrid/>
        <w:spacing w:line="460" w:lineRule="exact"/>
        <w:ind w:left="13" w:right="194" w:firstLine="647"/>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6.不得安排甲方人员在乙方或乙方相关企业兼职和领取 兼职工资及报酬； 不得向甲方人员打探有关涉及甲方的商业秘密。</w:t>
      </w:r>
    </w:p>
    <w:p w14:paraId="58EDE02E">
      <w:pPr>
        <w:pStyle w:val="4"/>
        <w:keepNext w:val="0"/>
        <w:keepLines w:val="0"/>
        <w:pageBreakBefore w:val="0"/>
        <w:widowControl w:val="0"/>
        <w:kinsoku/>
        <w:wordWrap/>
        <w:overflowPunct/>
        <w:topLinePunct w:val="0"/>
        <w:autoSpaceDE/>
        <w:autoSpaceDN/>
        <w:bidi w:val="0"/>
        <w:adjustRightInd/>
        <w:snapToGrid/>
        <w:spacing w:line="460" w:lineRule="exact"/>
        <w:ind w:left="66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7.如乙方有知悉或怀疑甲方员工有违反上述规定的，应向甲方纪检部门反</w:t>
      </w:r>
    </w:p>
    <w:p w14:paraId="00A17709">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映。</w:t>
      </w:r>
    </w:p>
    <w:p w14:paraId="4507DD5C">
      <w:pPr>
        <w:pStyle w:val="4"/>
        <w:keepNext w:val="0"/>
        <w:keepLines w:val="0"/>
        <w:pageBreakBefore w:val="0"/>
        <w:widowControl w:val="0"/>
        <w:kinsoku/>
        <w:wordWrap/>
        <w:overflowPunct/>
        <w:topLinePunct w:val="0"/>
        <w:autoSpaceDE/>
        <w:autoSpaceDN/>
        <w:bidi w:val="0"/>
        <w:adjustRightInd/>
        <w:snapToGrid/>
        <w:spacing w:line="460" w:lineRule="exact"/>
        <w:ind w:left="66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8.甲方对涉嫌与甲方有关的不廉洁行为进行调查时，乙方有配合甲方提供</w:t>
      </w:r>
    </w:p>
    <w:p w14:paraId="438930C4">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证据、作证的义务。</w:t>
      </w:r>
    </w:p>
    <w:p w14:paraId="530328CD">
      <w:pPr>
        <w:pStyle w:val="4"/>
        <w:keepNext w:val="0"/>
        <w:keepLines w:val="0"/>
        <w:pageBreakBefore w:val="0"/>
        <w:widowControl w:val="0"/>
        <w:kinsoku/>
        <w:wordWrap/>
        <w:overflowPunct/>
        <w:topLinePunct w:val="0"/>
        <w:autoSpaceDE/>
        <w:autoSpaceDN/>
        <w:bidi w:val="0"/>
        <w:adjustRightInd/>
        <w:snapToGrid/>
        <w:spacing w:line="460" w:lineRule="exact"/>
        <w:ind w:left="5" w:right="195" w:firstLine="65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9.本协议生效期间，保证与甲方对本业务负有领导、监 督、管理职责的工作人员及其他相关业务人员不存在需回避的直系及旁系等亲属关系及其他利害关系。</w:t>
      </w:r>
    </w:p>
    <w:p w14:paraId="07A7611F">
      <w:pPr>
        <w:pStyle w:val="4"/>
        <w:keepNext w:val="0"/>
        <w:keepLines w:val="0"/>
        <w:pageBreakBefore w:val="0"/>
        <w:widowControl w:val="0"/>
        <w:kinsoku/>
        <w:wordWrap/>
        <w:overflowPunct/>
        <w:topLinePunct w:val="0"/>
        <w:autoSpaceDE/>
        <w:autoSpaceDN/>
        <w:bidi w:val="0"/>
        <w:adjustRightInd/>
        <w:snapToGrid/>
        <w:spacing w:line="460" w:lineRule="exact"/>
        <w:ind w:left="66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10.其他（本业务的特殊廉洁风险点）：             </w:t>
      </w:r>
    </w:p>
    <w:p w14:paraId="3907EADD">
      <w:pPr>
        <w:pStyle w:val="4"/>
        <w:keepNext w:val="0"/>
        <w:keepLines w:val="0"/>
        <w:pageBreakBefore w:val="0"/>
        <w:widowControl w:val="0"/>
        <w:kinsoku/>
        <w:wordWrap/>
        <w:overflowPunct/>
        <w:topLinePunct w:val="0"/>
        <w:autoSpaceDE/>
        <w:autoSpaceDN/>
        <w:bidi w:val="0"/>
        <w:adjustRightInd/>
        <w:snapToGrid/>
        <w:spacing w:line="460" w:lineRule="exact"/>
        <w:ind w:left="68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四、违约责任</w:t>
      </w:r>
    </w:p>
    <w:p w14:paraId="64F1087A">
      <w:pPr>
        <w:pStyle w:val="4"/>
        <w:keepNext w:val="0"/>
        <w:keepLines w:val="0"/>
        <w:pageBreakBefore w:val="0"/>
        <w:widowControl w:val="0"/>
        <w:kinsoku/>
        <w:wordWrap/>
        <w:overflowPunct/>
        <w:topLinePunct w:val="0"/>
        <w:autoSpaceDE/>
        <w:autoSpaceDN/>
        <w:bidi w:val="0"/>
        <w:adjustRightInd/>
        <w:snapToGrid/>
        <w:spacing w:line="460" w:lineRule="exact"/>
        <w:ind w:right="195" w:firstLine="66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1.甲方及其工作人员违反本协议规定的， 按管理权限， 依据有关规定给予党纪、政务处分或组织处理；涉嫌违法犯 罪的，移交司法机关追究法律责任；给乙方单位造成经济损失的，应给予赔偿。</w:t>
      </w:r>
    </w:p>
    <w:p w14:paraId="27BD26C0">
      <w:pPr>
        <w:pStyle w:val="4"/>
        <w:keepNext w:val="0"/>
        <w:keepLines w:val="0"/>
        <w:pageBreakBefore w:val="0"/>
        <w:widowControl w:val="0"/>
        <w:kinsoku/>
        <w:wordWrap/>
        <w:overflowPunct/>
        <w:topLinePunct w:val="0"/>
        <w:autoSpaceDE/>
        <w:autoSpaceDN/>
        <w:bidi w:val="0"/>
        <w:adjustRightInd/>
        <w:snapToGrid/>
        <w:spacing w:line="460" w:lineRule="exact"/>
        <w:ind w:left="658"/>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2.乙方及其工作人员违反本协议规定的， 甲方有权单方解除业务合同，</w:t>
      </w:r>
    </w:p>
    <w:p w14:paraId="425FCFC0">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要求乙方支付业务合同总价款20%的违约金。</w:t>
      </w:r>
    </w:p>
    <w:p w14:paraId="4181CDC0">
      <w:pPr>
        <w:pStyle w:val="4"/>
        <w:keepNext w:val="0"/>
        <w:keepLines w:val="0"/>
        <w:pageBreakBefore w:val="0"/>
        <w:widowControl w:val="0"/>
        <w:kinsoku/>
        <w:wordWrap/>
        <w:overflowPunct/>
        <w:topLinePunct w:val="0"/>
        <w:autoSpaceDE/>
        <w:autoSpaceDN/>
        <w:bidi w:val="0"/>
        <w:adjustRightInd/>
        <w:snapToGrid/>
        <w:spacing w:line="460" w:lineRule="exact"/>
        <w:ind w:left="656"/>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五、协议书生效及法律效力</w:t>
      </w:r>
    </w:p>
    <w:p w14:paraId="582A82AD">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本协议作为业务合同的附件，与合同具有同等效力，经双方签署后生效； 如双方未签订合同，本协议独立有效。甲 乙双方及其人员在合同履行完毕后，发现在合同执行期间有违反本协议规定的行为， 仍按本协议规定处理。</w:t>
      </w:r>
    </w:p>
    <w:p w14:paraId="320E37AC">
      <w:pPr>
        <w:pStyle w:val="4"/>
        <w:keepNext w:val="0"/>
        <w:keepLines w:val="0"/>
        <w:pageBreakBefore w:val="0"/>
        <w:widowControl w:val="0"/>
        <w:kinsoku/>
        <w:wordWrap/>
        <w:overflowPunct/>
        <w:topLinePunct w:val="0"/>
        <w:autoSpaceDE/>
        <w:autoSpaceDN/>
        <w:bidi w:val="0"/>
        <w:adjustRightInd/>
        <w:snapToGrid/>
        <w:spacing w:line="460" w:lineRule="exact"/>
        <w:ind w:left="789"/>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六、本协议争议解决方式</w:t>
      </w:r>
    </w:p>
    <w:p w14:paraId="37950943">
      <w:pPr>
        <w:pStyle w:val="4"/>
        <w:keepNext w:val="0"/>
        <w:keepLines w:val="0"/>
        <w:pageBreakBefore w:val="0"/>
        <w:widowControl w:val="0"/>
        <w:kinsoku/>
        <w:wordWrap/>
        <w:overflowPunct/>
        <w:topLinePunct w:val="0"/>
        <w:autoSpaceDE/>
        <w:autoSpaceDN/>
        <w:bidi w:val="0"/>
        <w:adjustRightInd/>
        <w:snapToGrid/>
        <w:spacing w:line="460" w:lineRule="exact"/>
        <w:ind w:left="77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本协议产生的争议，由双方协商解决；协商不成的，向广州市仲裁委申</w:t>
      </w:r>
    </w:p>
    <w:p w14:paraId="64FD876F">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请仲裁。</w:t>
      </w:r>
    </w:p>
    <w:p w14:paraId="30917903">
      <w:pPr>
        <w:pStyle w:val="4"/>
        <w:keepNext w:val="0"/>
        <w:keepLines w:val="0"/>
        <w:pageBreakBefore w:val="0"/>
        <w:widowControl w:val="0"/>
        <w:kinsoku/>
        <w:wordWrap/>
        <w:overflowPunct/>
        <w:topLinePunct w:val="0"/>
        <w:autoSpaceDE/>
        <w:autoSpaceDN/>
        <w:bidi w:val="0"/>
        <w:adjustRightInd/>
        <w:snapToGrid/>
        <w:spacing w:line="460" w:lineRule="exact"/>
        <w:ind w:left="783"/>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七、协议书的份数</w:t>
      </w:r>
    </w:p>
    <w:p w14:paraId="486F7DD2">
      <w:pPr>
        <w:pStyle w:val="4"/>
        <w:keepNext w:val="0"/>
        <w:keepLines w:val="0"/>
        <w:pageBreakBefore w:val="0"/>
        <w:widowControl w:val="0"/>
        <w:kinsoku/>
        <w:wordWrap/>
        <w:overflowPunct/>
        <w:topLinePunct w:val="0"/>
        <w:autoSpaceDE/>
        <w:autoSpaceDN/>
        <w:bidi w:val="0"/>
        <w:adjustRightInd/>
        <w:snapToGrid/>
        <w:spacing w:line="460" w:lineRule="exact"/>
        <w:ind w:left="775"/>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本协议书一式  四 份，甲方执 二 份， 乙方执 二 份， 具有同等效力。</w:t>
      </w:r>
    </w:p>
    <w:p w14:paraId="73D57DF2">
      <w:pPr>
        <w:pStyle w:val="4"/>
        <w:keepNext w:val="0"/>
        <w:keepLines w:val="0"/>
        <w:pageBreakBefore w:val="0"/>
        <w:widowControl w:val="0"/>
        <w:kinsoku/>
        <w:wordWrap/>
        <w:overflowPunct/>
        <w:topLinePunct w:val="0"/>
        <w:autoSpaceDE/>
        <w:autoSpaceDN/>
        <w:bidi w:val="0"/>
        <w:adjustRightInd/>
        <w:snapToGrid/>
        <w:spacing w:line="460" w:lineRule="exact"/>
        <w:ind w:left="826"/>
        <w:textAlignment w:val="auto"/>
        <w:rPr>
          <w:rFonts w:hint="eastAsia" w:ascii="宋体" w:hAnsi="宋体" w:eastAsia="宋体" w:cs="Times New Roman"/>
          <w:color w:val="auto"/>
          <w:kern w:val="2"/>
          <w:sz w:val="24"/>
          <w:szCs w:val="24"/>
          <w:highlight w:val="none"/>
          <w:lang w:val="en-US" w:eastAsia="zh-CN" w:bidi="ar-SA"/>
        </w:rPr>
      </w:pPr>
    </w:p>
    <w:p w14:paraId="2D1DD102">
      <w:pPr>
        <w:pStyle w:val="4"/>
        <w:keepNext w:val="0"/>
        <w:keepLines w:val="0"/>
        <w:pageBreakBefore w:val="0"/>
        <w:widowControl w:val="0"/>
        <w:kinsoku/>
        <w:wordWrap/>
        <w:overflowPunct/>
        <w:topLinePunct w:val="0"/>
        <w:autoSpaceDE/>
        <w:autoSpaceDN/>
        <w:bidi w:val="0"/>
        <w:adjustRightInd/>
        <w:snapToGrid/>
        <w:spacing w:line="460" w:lineRule="exact"/>
        <w:ind w:left="826"/>
        <w:textAlignment w:val="auto"/>
        <w:rPr>
          <w:rFonts w:hint="eastAsia" w:ascii="宋体" w:hAnsi="宋体" w:eastAsia="宋体" w:cs="Times New Roman"/>
          <w:color w:val="auto"/>
          <w:kern w:val="2"/>
          <w:sz w:val="24"/>
          <w:szCs w:val="24"/>
          <w:highlight w:val="none"/>
          <w:lang w:val="en-US" w:eastAsia="zh-CN" w:bidi="ar-SA"/>
        </w:rPr>
      </w:pPr>
    </w:p>
    <w:p w14:paraId="3640AF6E">
      <w:pPr>
        <w:pStyle w:val="4"/>
        <w:keepNext w:val="0"/>
        <w:keepLines w:val="0"/>
        <w:pageBreakBefore w:val="0"/>
        <w:widowControl w:val="0"/>
        <w:kinsoku/>
        <w:wordWrap/>
        <w:overflowPunct/>
        <w:topLinePunct w:val="0"/>
        <w:autoSpaceDE/>
        <w:autoSpaceDN/>
        <w:bidi w:val="0"/>
        <w:adjustRightInd/>
        <w:snapToGrid/>
        <w:spacing w:line="460" w:lineRule="exact"/>
        <w:ind w:left="826"/>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甲方（盖章）                 乙方（盖章）</w:t>
      </w:r>
    </w:p>
    <w:p w14:paraId="43A01C50">
      <w:pPr>
        <w:pStyle w:val="4"/>
        <w:keepNext w:val="0"/>
        <w:keepLines w:val="0"/>
        <w:pageBreakBefore w:val="0"/>
        <w:widowControl w:val="0"/>
        <w:kinsoku/>
        <w:wordWrap/>
        <w:overflowPunct/>
        <w:topLinePunct w:val="0"/>
        <w:autoSpaceDE/>
        <w:autoSpaceDN/>
        <w:bidi w:val="0"/>
        <w:adjustRightInd/>
        <w:snapToGrid/>
        <w:spacing w:line="460" w:lineRule="exact"/>
        <w:ind w:left="794"/>
        <w:textAlignment w:val="auto"/>
        <w:rPr>
          <w:rFonts w:hint="eastAsia" w:ascii="宋体" w:hAnsi="宋体" w:eastAsia="宋体" w:cs="Times New Roman"/>
          <w:color w:val="auto"/>
          <w:kern w:val="2"/>
          <w:sz w:val="24"/>
          <w:szCs w:val="24"/>
          <w:highlight w:val="none"/>
          <w:lang w:val="en-US" w:eastAsia="zh-CN" w:bidi="ar-SA"/>
        </w:rPr>
      </w:pPr>
    </w:p>
    <w:p w14:paraId="11B3974C">
      <w:pPr>
        <w:pStyle w:val="4"/>
        <w:keepNext w:val="0"/>
        <w:keepLines w:val="0"/>
        <w:pageBreakBefore w:val="0"/>
        <w:widowControl w:val="0"/>
        <w:kinsoku/>
        <w:wordWrap/>
        <w:overflowPunct/>
        <w:topLinePunct w:val="0"/>
        <w:autoSpaceDE/>
        <w:autoSpaceDN/>
        <w:bidi w:val="0"/>
        <w:adjustRightInd/>
        <w:snapToGrid/>
        <w:spacing w:line="460" w:lineRule="exact"/>
        <w:ind w:left="794"/>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法定代表人（或授权人）      法定代表人（或授权人）</w:t>
      </w:r>
    </w:p>
    <w:p w14:paraId="7104C224">
      <w:pPr>
        <w:pStyle w:val="4"/>
        <w:keepNext w:val="0"/>
        <w:keepLines w:val="0"/>
        <w:pageBreakBefore w:val="0"/>
        <w:widowControl w:val="0"/>
        <w:kinsoku/>
        <w:wordWrap/>
        <w:overflowPunct/>
        <w:topLinePunct w:val="0"/>
        <w:autoSpaceDE/>
        <w:autoSpaceDN/>
        <w:bidi w:val="0"/>
        <w:adjustRightInd/>
        <w:snapToGrid/>
        <w:spacing w:line="460" w:lineRule="exact"/>
        <w:ind w:left="794"/>
        <w:textAlignment w:val="auto"/>
        <w:rPr>
          <w:rFonts w:hint="eastAsia" w:ascii="宋体" w:hAnsi="宋体" w:eastAsia="宋体" w:cs="Times New Roman"/>
          <w:color w:val="auto"/>
          <w:kern w:val="2"/>
          <w:sz w:val="24"/>
          <w:szCs w:val="24"/>
          <w:highlight w:val="none"/>
          <w:lang w:val="en-US" w:eastAsia="zh-CN" w:bidi="ar-SA"/>
        </w:rPr>
      </w:pPr>
    </w:p>
    <w:p w14:paraId="3D8696F4">
      <w:pPr>
        <w:pStyle w:val="4"/>
        <w:keepNext w:val="0"/>
        <w:keepLines w:val="0"/>
        <w:pageBreakBefore w:val="0"/>
        <w:widowControl w:val="0"/>
        <w:kinsoku/>
        <w:wordWrap/>
        <w:overflowPunct/>
        <w:topLinePunct w:val="0"/>
        <w:autoSpaceDE/>
        <w:autoSpaceDN/>
        <w:bidi w:val="0"/>
        <w:adjustRightInd/>
        <w:snapToGrid/>
        <w:spacing w:line="460" w:lineRule="exact"/>
        <w:ind w:left="794"/>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日期：                      日期：</w:t>
      </w:r>
    </w:p>
    <w:p w14:paraId="6850225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Times New Roman"/>
          <w:color w:val="auto"/>
          <w:kern w:val="2"/>
          <w:sz w:val="24"/>
          <w:szCs w:val="24"/>
          <w:highlight w:val="none"/>
          <w:lang w:val="en-US" w:eastAsia="zh-CN" w:bidi="ar-SA"/>
        </w:rPr>
      </w:pPr>
    </w:p>
    <w:p w14:paraId="74ACBB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ZTZhMTllYTkyODBhNWY1ZjJiZDQyNWFhYzQ2MzcifQ=="/>
  </w:docVars>
  <w:rsids>
    <w:rsidRoot w:val="00714DFB"/>
    <w:rsid w:val="00041B75"/>
    <w:rsid w:val="000658C3"/>
    <w:rsid w:val="000A11D9"/>
    <w:rsid w:val="001841B2"/>
    <w:rsid w:val="001E38B8"/>
    <w:rsid w:val="002D05D3"/>
    <w:rsid w:val="002F7CB4"/>
    <w:rsid w:val="00344E10"/>
    <w:rsid w:val="003A31D2"/>
    <w:rsid w:val="003B5D64"/>
    <w:rsid w:val="00405BA7"/>
    <w:rsid w:val="00423184"/>
    <w:rsid w:val="00471BA7"/>
    <w:rsid w:val="00492D56"/>
    <w:rsid w:val="004A160C"/>
    <w:rsid w:val="00521129"/>
    <w:rsid w:val="00526E2B"/>
    <w:rsid w:val="005D5358"/>
    <w:rsid w:val="006104E4"/>
    <w:rsid w:val="0067271D"/>
    <w:rsid w:val="00714DFB"/>
    <w:rsid w:val="00785EC5"/>
    <w:rsid w:val="007C6438"/>
    <w:rsid w:val="00815E13"/>
    <w:rsid w:val="008872DA"/>
    <w:rsid w:val="008C3D53"/>
    <w:rsid w:val="009168D9"/>
    <w:rsid w:val="00925240"/>
    <w:rsid w:val="00A72DCE"/>
    <w:rsid w:val="00AD4958"/>
    <w:rsid w:val="00BF2703"/>
    <w:rsid w:val="00C15F85"/>
    <w:rsid w:val="00CD6073"/>
    <w:rsid w:val="00D257C8"/>
    <w:rsid w:val="00D70E49"/>
    <w:rsid w:val="00DA4456"/>
    <w:rsid w:val="00E2406D"/>
    <w:rsid w:val="00E62D11"/>
    <w:rsid w:val="00ED2C11"/>
    <w:rsid w:val="00F335BA"/>
    <w:rsid w:val="00FA7C9B"/>
    <w:rsid w:val="019D72F6"/>
    <w:rsid w:val="01A52B1A"/>
    <w:rsid w:val="02C60B85"/>
    <w:rsid w:val="02E64D83"/>
    <w:rsid w:val="045921FA"/>
    <w:rsid w:val="04CA4323"/>
    <w:rsid w:val="06D03D80"/>
    <w:rsid w:val="0B00148A"/>
    <w:rsid w:val="0B5444ED"/>
    <w:rsid w:val="0B884C29"/>
    <w:rsid w:val="0BB658DC"/>
    <w:rsid w:val="0D5908F5"/>
    <w:rsid w:val="0DD405FA"/>
    <w:rsid w:val="0E901C9A"/>
    <w:rsid w:val="1020692A"/>
    <w:rsid w:val="10437371"/>
    <w:rsid w:val="12F1729F"/>
    <w:rsid w:val="17011D34"/>
    <w:rsid w:val="17397720"/>
    <w:rsid w:val="199E386A"/>
    <w:rsid w:val="1A4E5290"/>
    <w:rsid w:val="1BB74F8B"/>
    <w:rsid w:val="1BC0795B"/>
    <w:rsid w:val="1CA70C88"/>
    <w:rsid w:val="1E04758B"/>
    <w:rsid w:val="20593E9B"/>
    <w:rsid w:val="21723F5A"/>
    <w:rsid w:val="25070E5D"/>
    <w:rsid w:val="253E079D"/>
    <w:rsid w:val="26E44452"/>
    <w:rsid w:val="26EA2685"/>
    <w:rsid w:val="280414D2"/>
    <w:rsid w:val="28925224"/>
    <w:rsid w:val="28C57065"/>
    <w:rsid w:val="2939710B"/>
    <w:rsid w:val="29C44B03"/>
    <w:rsid w:val="2A047719"/>
    <w:rsid w:val="2AD371C8"/>
    <w:rsid w:val="2B230BA9"/>
    <w:rsid w:val="2CF25F4F"/>
    <w:rsid w:val="2D063031"/>
    <w:rsid w:val="2D10498C"/>
    <w:rsid w:val="2D7A4A42"/>
    <w:rsid w:val="2E037BF4"/>
    <w:rsid w:val="30071C3E"/>
    <w:rsid w:val="304F36B8"/>
    <w:rsid w:val="33150BE9"/>
    <w:rsid w:val="34A00474"/>
    <w:rsid w:val="34B1049E"/>
    <w:rsid w:val="3500741D"/>
    <w:rsid w:val="360D524D"/>
    <w:rsid w:val="36BE5BB5"/>
    <w:rsid w:val="373156EE"/>
    <w:rsid w:val="3770571D"/>
    <w:rsid w:val="39294E48"/>
    <w:rsid w:val="39C55F61"/>
    <w:rsid w:val="3DE03BA2"/>
    <w:rsid w:val="40185875"/>
    <w:rsid w:val="40953369"/>
    <w:rsid w:val="41C061C4"/>
    <w:rsid w:val="42312C1E"/>
    <w:rsid w:val="42600302"/>
    <w:rsid w:val="42F06635"/>
    <w:rsid w:val="431D4BB3"/>
    <w:rsid w:val="44BC53E0"/>
    <w:rsid w:val="47A619B8"/>
    <w:rsid w:val="49F24B88"/>
    <w:rsid w:val="4AD62F17"/>
    <w:rsid w:val="4BA34342"/>
    <w:rsid w:val="4DBA7154"/>
    <w:rsid w:val="4E6047B6"/>
    <w:rsid w:val="4F0516BA"/>
    <w:rsid w:val="4FC86390"/>
    <w:rsid w:val="503F0EBB"/>
    <w:rsid w:val="525564B4"/>
    <w:rsid w:val="565A3529"/>
    <w:rsid w:val="567D5E43"/>
    <w:rsid w:val="5B06202A"/>
    <w:rsid w:val="5B4B66A7"/>
    <w:rsid w:val="5CA249EC"/>
    <w:rsid w:val="5DB20C5F"/>
    <w:rsid w:val="5F506981"/>
    <w:rsid w:val="60861CF0"/>
    <w:rsid w:val="60FA1098"/>
    <w:rsid w:val="611765DB"/>
    <w:rsid w:val="619C7C5C"/>
    <w:rsid w:val="61A431BC"/>
    <w:rsid w:val="62886432"/>
    <w:rsid w:val="62930E70"/>
    <w:rsid w:val="630F6DAB"/>
    <w:rsid w:val="645879B8"/>
    <w:rsid w:val="648570CD"/>
    <w:rsid w:val="65EE47FE"/>
    <w:rsid w:val="667A42E4"/>
    <w:rsid w:val="66ED0292"/>
    <w:rsid w:val="673D3C8F"/>
    <w:rsid w:val="677B6B6C"/>
    <w:rsid w:val="69020DEA"/>
    <w:rsid w:val="6A400B06"/>
    <w:rsid w:val="6B171B6B"/>
    <w:rsid w:val="6E7A1325"/>
    <w:rsid w:val="6E7A7577"/>
    <w:rsid w:val="7041406C"/>
    <w:rsid w:val="727B4FCE"/>
    <w:rsid w:val="758A6286"/>
    <w:rsid w:val="75924FE8"/>
    <w:rsid w:val="762B73A9"/>
    <w:rsid w:val="7A15414C"/>
    <w:rsid w:val="7A463B1D"/>
    <w:rsid w:val="7B7407B7"/>
    <w:rsid w:val="7C06244A"/>
    <w:rsid w:val="7CF95B0B"/>
    <w:rsid w:val="7F45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asciiTheme="minorHAnsi" w:hAnsiTheme="minorHAnsi"/>
      <w:b/>
      <w:kern w:val="44"/>
      <w:sz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alloon Text"/>
    <w:basedOn w:val="1"/>
    <w:link w:val="15"/>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9">
    <w:name w:val="Normal (Web)"/>
    <w:basedOn w:val="1"/>
    <w:autoRedefine/>
    <w:unhideWhenUsed/>
    <w:qFormat/>
    <w:uiPriority w:val="99"/>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character" w:customStyle="1" w:styleId="15">
    <w:name w:val="批注框文本 Char"/>
    <w:basedOn w:val="12"/>
    <w:link w:val="5"/>
    <w:autoRedefine/>
    <w:qFormat/>
    <w:uiPriority w:val="0"/>
    <w:rPr>
      <w:kern w:val="2"/>
      <w:sz w:val="18"/>
      <w:szCs w:val="18"/>
    </w:rPr>
  </w:style>
  <w:style w:type="character" w:customStyle="1" w:styleId="16">
    <w:name w:val="font61"/>
    <w:basedOn w:val="12"/>
    <w:autoRedefine/>
    <w:qFormat/>
    <w:uiPriority w:val="0"/>
    <w:rPr>
      <w:rFonts w:ascii="monospace" w:hAnsi="monospace" w:eastAsia="monospace" w:cs="monospace"/>
      <w:color w:val="auto"/>
      <w:sz w:val="18"/>
      <w:szCs w:val="18"/>
      <w:u w:val="none"/>
    </w:rPr>
  </w:style>
  <w:style w:type="character" w:customStyle="1" w:styleId="17">
    <w:name w:val="font51"/>
    <w:basedOn w:val="12"/>
    <w:autoRedefine/>
    <w:qFormat/>
    <w:uiPriority w:val="0"/>
    <w:rPr>
      <w:rFonts w:hint="eastAsia" w:ascii="宋体" w:hAnsi="宋体" w:eastAsia="宋体" w:cs="宋体"/>
      <w:color w:val="auto"/>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A688-5A6C-4AC6-B8E5-8FE22DF9F1F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3940</Words>
  <Characters>4108</Characters>
  <Lines>31</Lines>
  <Paragraphs>8</Paragraphs>
  <TotalTime>0</TotalTime>
  <ScaleCrop>false</ScaleCrop>
  <LinksUpToDate>false</LinksUpToDate>
  <CharactersWithSpaces>4321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2024-04-07T08:05:00Z</dcterms:created>
  <dc:creator>netuser</dc:creator>
  <cp:lastModifiedBy>符立</cp:lastModifiedBy>
  <dcterms:modified xsi:type="dcterms:W3CDTF">2024-07-11T07:56:28Z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3290FB2A542D4F1F9A4B762F6165D31F_13</vt:lpwstr>
  </property>
</Properties>
</file>